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680" w:after="200" w:line="264" w:lineRule="auto"/>
      </w:pPr>
      <w:r>
        <w:rPr>
          <w:rFonts w:ascii="Aptos" w:hAnsi="Aptos"/>
          <w:b/>
          <w:i w:val="0"/>
          <w:color w:val="27C7D9"/>
          <w:sz w:val="20"/>
        </w:rPr>
        <w:t>VBDGS LLC • LEGAL CASE SUITE</w:t>
      </w:r>
    </w:p>
    <w:p>
      <w:pPr>
        <w:keepNext w:val="0"/>
        <w:spacing w:before="0" w:after="160" w:line="264" w:lineRule="auto"/>
      </w:pPr>
      <w:r>
        <w:rPr>
          <w:rFonts w:ascii="Aptos" w:hAnsi="Aptos"/>
          <w:b/>
          <w:i w:val="0"/>
          <w:color w:val="08212B"/>
          <w:sz w:val="62"/>
        </w:rPr>
        <w:t>PE Proper</w:t>
      </w:r>
    </w:p>
    <w:p>
      <w:pPr>
        <w:keepNext w:val="0"/>
        <w:spacing w:before="0" w:after="280" w:line="264" w:lineRule="auto"/>
      </w:pPr>
      <w:r>
        <w:rPr>
          <w:rFonts w:ascii="Aptos" w:hAnsi="Aptos"/>
          <w:b/>
          <w:i w:val="0"/>
          <w:color w:val="17232A"/>
          <w:sz w:val="36"/>
        </w:rPr>
        <w:t>Product Experience, Feature Assessment &amp; Marketing Guide</w:t>
      </w:r>
    </w:p>
    <w:p>
      <w:pPr>
        <w:keepNext w:val="0"/>
        <w:spacing w:before="0" w:after="360" w:line="264" w:lineRule="auto"/>
      </w:pPr>
      <w:r>
        <w:t>A hands-on review using a fictional 5.8-year marriage, 19 household assets, gifts, separate property, sale proceeds, and professional report generation.</w:t>
      </w:r>
    </w:p>
    <w:p>
      <w:pPr>
        <w:spacing w:before="80" w:after="80"/>
        <w:jc w:val="center"/>
      </w:pPr>
      <w:r>
        <w:drawing>
          <wp:inline xmlns:a="http://schemas.openxmlformats.org/drawingml/2006/main" xmlns:pic="http://schemas.openxmlformats.org/drawingml/2006/picture">
            <wp:extent cx="5943600" cy="844924"/>
            <wp:docPr id="1" name="Picture 1"/>
            <wp:cNvGraphicFramePr>
              <a:graphicFrameLocks noChangeAspect="1"/>
            </wp:cNvGraphicFramePr>
            <a:graphic>
              <a:graphicData uri="http://schemas.openxmlformats.org/drawingml/2006/picture">
                <pic:pic>
                  <pic:nvPicPr>
                    <pic:cNvPr id="0" name="peproper-case-header-clean.jpg"/>
                    <pic:cNvPicPr/>
                  </pic:nvPicPr>
                  <pic:blipFill>
                    <a:blip r:embed="rId11"/>
                    <a:stretch>
                      <a:fillRect/>
                    </a:stretch>
                  </pic:blipFill>
                  <pic:spPr>
                    <a:xfrm>
                      <a:off x="0" y="0"/>
                      <a:ext cx="5943600" cy="844924"/>
                    </a:xfrm>
                    <a:prstGeom prst="rect"/>
                  </pic:spPr>
                </pic:pic>
              </a:graphicData>
            </a:graphic>
          </wp:inline>
        </w:drawing>
      </w:r>
    </w:p>
    <w:p>
      <w:pPr>
        <w:keepNext w:val="0"/>
        <w:spacing w:before="0" w:after="160" w:line="264" w:lineRule="auto"/>
        <w:jc w:val="center"/>
      </w:pPr>
      <w:r>
        <w:rPr>
          <w:rFonts w:ascii="Aptos" w:hAnsi="Aptos"/>
          <w:b w:val="0"/>
          <w:i/>
          <w:color w:val="5D6A72"/>
          <w:sz w:val="18"/>
        </w:rPr>
        <w:t>Fictional matter header and available case actions</w:t>
      </w:r>
    </w:p>
    <w:tbl>
      <w:tblPr>
        <w:tblW w:type="dxa" w:w="9360"/>
        <w:jc w:val="center"/>
        <w:tblLayout w:type="fixed"/>
        <w:tblLook w:firstColumn="1" w:firstRow="1" w:lastColumn="0" w:lastRow="0" w:noHBand="0" w:noVBand="1" w:val="04A0"/>
      </w:tblPr>
      <w:tblGrid>
        <w:gridCol w:w="9360"/>
      </w:tblGrid>
      <w:tr>
        <w:tc>
          <w:tcPr>
            <w:tcW w:type="dxa" w:w="9360"/>
            <w:tcMar>
              <w:top w:w="80" w:type="dxa"/>
              <w:start w:w="120" w:type="dxa"/>
              <w:bottom w:w="80" w:type="dxa"/>
              <w:end w:w="120" w:type="dxa"/>
            </w:tcMar>
            <w:shd w:fill="E5F8FA"/>
          </w:tcPr>
          <w:p>
            <w:pPr>
              <w:keepNext w:val="0"/>
              <w:spacing w:before="0" w:after="0" w:line="264" w:lineRule="auto"/>
            </w:pPr>
            <w:r>
              <w:rPr>
                <w:rFonts w:ascii="Aptos" w:hAnsi="Aptos"/>
                <w:b/>
                <w:i w:val="0"/>
                <w:color w:val="27C7D9"/>
                <w:sz w:val="22"/>
              </w:rPr>
              <w:t xml:space="preserve">Test outcome: </w:t>
            </w:r>
            <w:r>
              <w:rPr>
                <w:rFonts w:ascii="Aptos" w:hAnsi="Aptos"/>
                <w:b w:val="0"/>
                <w:i w:val="0"/>
                <w:color w:val="17232A"/>
                <w:sz w:val="22"/>
              </w:rPr>
              <w:t>19 assets were entered successfully. PE Proper calculated $17,860 in current fair-market value and a $740 equalization payment from Julian Mercer to Elena Rossi-Mercer.</w:t>
            </w:r>
          </w:p>
        </w:tc>
      </w:tr>
    </w:tbl>
    <w:p>
      <w:pPr>
        <w:spacing w:after="40"/>
      </w:pPr>
    </w:p>
    <w:p>
      <w:r>
        <w:br w:type="page"/>
      </w:r>
    </w:p>
    <w:p>
      <w:pPr>
        <w:pStyle w:val="Heading1"/>
        <w:keepNext/>
      </w:pPr>
      <w:r>
        <w:rPr>
          <w:rFonts w:ascii="Aptos" w:hAnsi="Aptos"/>
          <w:b/>
          <w:i w:val="0"/>
          <w:color w:val="27C7D9"/>
          <w:sz w:val="32"/>
        </w:rPr>
        <w:t>1. Executive assessment</w:t>
      </w:r>
    </w:p>
    <w:p>
      <w:pPr>
        <w:keepNext w:val="0"/>
        <w:spacing w:before="0" w:after="120" w:line="264" w:lineRule="auto"/>
      </w:pPr>
      <w:r>
        <w:t>PE Proper turns a difficult household-property conversation into a structured, auditable workflow. It combines intake, classification, valuation, possession decisions, statutory-style separate-property and gift treatment, negotiation simulation, collaboration, and professional property schedule in one focused application.</w:t>
      </w:r>
    </w:p>
    <w:p>
      <w:pPr>
        <w:keepNext w:val="0"/>
        <w:spacing w:before="0" w:after="120" w:line="264" w:lineRule="auto"/>
      </w:pPr>
      <w:r>
        <w:rPr>
          <w:rFonts w:ascii="Aptos" w:hAnsi="Aptos"/>
          <w:b w:val="0"/>
          <w:i w:val="0"/>
          <w:color w:val="17232A"/>
          <w:sz w:val="22"/>
        </w:rPr>
        <w:t>The strongest product story is not simply “make a list.” The product’s value is that every item becomes a decision record: what it is, when it was acquired, who acquired it, how it was funded, what it is worth now, what happens to it, and how that decision changes the equalization balance.</w:t>
      </w:r>
    </w:p>
    <w:tbl>
      <w:tblPr>
        <w:tblW w:type="dxa" w:w="9360"/>
        <w:jc w:val="center"/>
        <w:tblLayout w:type="fixed"/>
        <w:tblLook w:firstColumn="1" w:firstRow="1" w:lastColumn="0" w:lastRow="0" w:noHBand="0" w:noVBand="1" w:val="04A0"/>
      </w:tblPr>
      <w:tblGrid>
        <w:gridCol w:w="9360"/>
      </w:tblGrid>
      <w:tr>
        <w:tc>
          <w:tcPr>
            <w:tcW w:type="dxa" w:w="9360"/>
            <w:tcMar>
              <w:top w:w="80" w:type="dxa"/>
              <w:start w:w="120" w:type="dxa"/>
              <w:bottom w:w="80" w:type="dxa"/>
              <w:end w:w="120" w:type="dxa"/>
            </w:tcMar>
            <w:shd w:fill="FFF6D8"/>
          </w:tcPr>
          <w:p>
            <w:pPr>
              <w:keepNext w:val="0"/>
              <w:spacing w:before="0" w:after="0" w:line="264" w:lineRule="auto"/>
            </w:pPr>
            <w:r>
              <w:rPr>
                <w:rFonts w:ascii="Aptos" w:hAnsi="Aptos"/>
                <w:b/>
                <w:i w:val="0"/>
                <w:color w:val="D7A928"/>
                <w:sz w:val="22"/>
              </w:rPr>
              <w:t xml:space="preserve">Bottom line: </w:t>
            </w:r>
            <w:r>
              <w:rPr>
                <w:rFonts w:ascii="Aptos" w:hAnsi="Aptos"/>
                <w:b w:val="0"/>
                <w:i w:val="0"/>
                <w:color w:val="17232A"/>
                <w:sz w:val="22"/>
              </w:rPr>
              <w:t>The application already demonstrates a credible end-to-end workflow for spouses, mediators, paralegals, and family-law professionals. The next marketing step should emphasize clarity, collaboration, and report readiness rather than broad legal claims.</w:t>
            </w:r>
          </w:p>
        </w:tc>
      </w:tr>
    </w:tbl>
    <w:p>
      <w:pPr>
        <w:spacing w:after="40"/>
      </w:pPr>
    </w:p>
    <w:p>
      <w:pPr>
        <w:pStyle w:val="Heading2"/>
        <w:keepNext/>
      </w:pPr>
      <w:r>
        <w:rPr>
          <w:rFonts w:ascii="Aptos" w:hAnsi="Aptos"/>
          <w:b/>
          <w:i w:val="0"/>
          <w:color w:val="27C7D9"/>
          <w:sz w:val="26"/>
        </w:rPr>
        <w:t>Demonstration scenario</w:t>
      </w:r>
    </w:p>
    <w:p>
      <w:pPr>
        <w:keepNext w:val="0"/>
        <w:spacing w:before="0" w:after="120" w:line="264" w:lineRule="auto"/>
      </w:pPr>
      <w:r>
        <w:rPr>
          <w:rFonts w:ascii="Aptos" w:hAnsi="Aptos"/>
          <w:b w:val="0"/>
          <w:i w:val="0"/>
          <w:color w:val="17232A"/>
          <w:sz w:val="22"/>
        </w:rPr>
        <w:t>Spouse A: Julian Mercer. Spouse B: Elena Rossi-Mercer. Marriage date: October 12, 2018. Separation date: August 1, 2024. The relationship duration is approximately 5.8 years.</w:t>
      </w:r>
    </w:p>
    <w:p>
      <w:pPr>
        <w:keepNext w:val="0"/>
        <w:spacing w:before="0" w:after="120" w:line="264" w:lineRule="auto"/>
      </w:pPr>
      <w:r>
        <w:rPr>
          <w:rFonts w:ascii="Aptos" w:hAnsi="Aptos"/>
          <w:b w:val="0"/>
          <w:i w:val="0"/>
          <w:color w:val="17232A"/>
          <w:sz w:val="22"/>
        </w:rPr>
        <w:t>The matter includes two pre-marriage assets, two gifts assigned to Elena, fourteen community household purchases, and one jointly owned art collection designated for sale with proceeds split 50/50.</w:t>
      </w:r>
    </w:p>
    <w:tbl>
      <w:tblPr>
        <w:tblW w:type="dxa" w:w="9360"/>
        <w:jc w:val="center"/>
        <w:tblLayout w:type="fixed"/>
        <w:tblLook w:firstColumn="1" w:firstRow="1" w:lastColumn="0" w:lastRow="0" w:noHBand="0" w:noVBand="1" w:val="04A0"/>
      </w:tblPr>
      <w:tblGrid>
        <w:gridCol w:w="9360"/>
      </w:tblGrid>
      <w:tr>
        <w:tc>
          <w:tcPr>
            <w:tcW w:type="dxa" w:w="9360"/>
            <w:tcMar>
              <w:top w:w="80" w:type="dxa"/>
              <w:start w:w="120" w:type="dxa"/>
              <w:bottom w:w="80" w:type="dxa"/>
              <w:end w:w="120" w:type="dxa"/>
            </w:tcMar>
            <w:shd w:fill="E5F8FA"/>
          </w:tcPr>
          <w:p>
            <w:pPr>
              <w:keepNext w:val="0"/>
              <w:spacing w:before="0" w:after="0" w:line="264" w:lineRule="auto"/>
            </w:pPr>
            <w:r>
              <w:rPr>
                <w:rFonts w:ascii="Aptos" w:hAnsi="Aptos"/>
                <w:b/>
                <w:i w:val="0"/>
                <w:color w:val="27C7D9"/>
                <w:sz w:val="22"/>
              </w:rPr>
              <w:t xml:space="preserve">Demonstration outcome: </w:t>
            </w:r>
            <w:r>
              <w:rPr>
                <w:rFonts w:ascii="Aptos" w:hAnsi="Aptos"/>
                <w:b w:val="0"/>
                <w:i w:val="0"/>
                <w:color w:val="17232A"/>
                <w:sz w:val="22"/>
              </w:rPr>
              <w:t>19 assets • $38,695 original purchase value • $17,860 current fair market value • $9,080 allocated to Julian • $8,780 allocated to Elena • $740 equalization payment from Julian to Elena.</w:t>
            </w:r>
          </w:p>
        </w:tc>
      </w:tr>
    </w:tbl>
    <w:p>
      <w:pPr>
        <w:spacing w:after="40"/>
      </w:pPr>
    </w:p>
    <w:p>
      <w:pPr>
        <w:pStyle w:val="Heading1"/>
        <w:keepNext/>
      </w:pPr>
      <w:r>
        <w:rPr>
          <w:rFonts w:ascii="Aptos" w:hAnsi="Aptos"/>
          <w:b/>
          <w:i w:val="0"/>
          <w:color w:val="27C7D9"/>
          <w:sz w:val="32"/>
        </w:rPr>
        <w:t>2. What the hands-on workflow demonstrated</w:t>
      </w:r>
    </w:p>
    <w:p>
      <w:pPr>
        <w:pStyle w:val="Heading2"/>
        <w:keepNext/>
      </w:pPr>
      <w:r>
        <w:rPr>
          <w:rFonts w:ascii="Aptos" w:hAnsi="Aptos"/>
          <w:b/>
          <w:i w:val="0"/>
          <w:color w:val="27C7D9"/>
          <w:sz w:val="26"/>
        </w:rPr>
        <w:t>Create the matter once, then work from a single case workspace</w:t>
      </w:r>
    </w:p>
    <w:p>
      <w:pPr>
        <w:keepNext w:val="0"/>
        <w:spacing w:before="0" w:after="120" w:line="264" w:lineRule="auto"/>
      </w:pPr>
      <w:r>
        <w:rPr>
          <w:rFonts w:ascii="Aptos" w:hAnsi="Aptos"/>
          <w:b w:val="0"/>
          <w:i w:val="0"/>
          <w:color w:val="17232A"/>
          <w:sz w:val="22"/>
        </w:rPr>
        <w:t>The dashboard begins with a concise case form for both spouses, marriage and separation dates, case number, and court jurisdiction. After creation, the matter opens into a persistent workspace with collaboration links, calculations, reports, and the item register.</w:t>
      </w:r>
    </w:p>
    <w:p>
      <w:pPr>
        <w:pStyle w:val="Heading2"/>
        <w:keepNext/>
      </w:pPr>
      <w:r>
        <w:rPr>
          <w:rFonts w:ascii="Aptos" w:hAnsi="Aptos"/>
          <w:b/>
          <w:i w:val="0"/>
          <w:color w:val="27C7D9"/>
          <w:sz w:val="26"/>
        </w:rPr>
        <w:t>Cataloging is detailed enough for negotiation and reporting</w:t>
      </w:r>
    </w:p>
    <w:p>
      <w:pPr>
        <w:keepNext w:val="0"/>
        <w:spacing w:before="0" w:after="120" w:line="264" w:lineRule="auto"/>
      </w:pPr>
      <w:r>
        <w:rPr>
          <w:rFonts w:ascii="Aptos" w:hAnsi="Aptos"/>
          <w:b w:val="0"/>
          <w:i w:val="0"/>
          <w:color w:val="17232A"/>
          <w:sz w:val="22"/>
        </w:rPr>
        <w:t>Each property record supports an item number, description, category, original purchaser, purchase date, original price, FMV, possession or sale, funding percentages, gift status, transmutation treatment, condition notes, and up to three photographs.</w:t>
      </w:r>
    </w:p>
    <w:p>
      <w:pPr>
        <w:spacing w:before="80" w:after="80"/>
        <w:jc w:val="center"/>
      </w:pPr>
      <w:r>
        <w:drawing>
          <wp:inline xmlns:a="http://schemas.openxmlformats.org/drawingml/2006/main" xmlns:pic="http://schemas.openxmlformats.org/drawingml/2006/picture">
            <wp:extent cx="5669280" cy="3893713"/>
            <wp:docPr id="2" name="Picture 2"/>
            <wp:cNvGraphicFramePr>
              <a:graphicFrameLocks noChangeAspect="1"/>
            </wp:cNvGraphicFramePr>
            <a:graphic>
              <a:graphicData uri="http://schemas.openxmlformats.org/drawingml/2006/picture">
                <pic:pic>
                  <pic:nvPicPr>
                    <pic:cNvPr id="0" name="peproper-add-item-dialog-1785200966381.jpg"/>
                    <pic:cNvPicPr/>
                  </pic:nvPicPr>
                  <pic:blipFill>
                    <a:blip r:embed="rId12"/>
                    <a:stretch>
                      <a:fillRect/>
                    </a:stretch>
                  </pic:blipFill>
                  <pic:spPr>
                    <a:xfrm>
                      <a:off x="0" y="0"/>
                      <a:ext cx="5669280" cy="3893713"/>
                    </a:xfrm>
                    <a:prstGeom prst="rect"/>
                  </pic:spPr>
                </pic:pic>
              </a:graphicData>
            </a:graphic>
          </wp:inline>
        </w:drawing>
      </w:r>
    </w:p>
    <w:p>
      <w:pPr>
        <w:keepNext w:val="0"/>
        <w:spacing w:before="0" w:after="160" w:line="264" w:lineRule="auto"/>
        <w:jc w:val="center"/>
      </w:pPr>
      <w:r>
        <w:rPr>
          <w:rFonts w:ascii="Aptos" w:hAnsi="Aptos"/>
          <w:b w:val="0"/>
          <w:i/>
          <w:color w:val="5D6A72"/>
          <w:sz w:val="18"/>
        </w:rPr>
        <w:t>The item-entry dialog captures classification, valuation, funding, disposition, notes, and photographs</w:t>
      </w:r>
    </w:p>
    <w:p>
      <w:pPr>
        <w:pStyle w:val="Heading2"/>
        <w:keepNext/>
      </w:pPr>
      <w:r>
        <w:rPr>
          <w:rFonts w:ascii="Aptos" w:hAnsi="Aptos"/>
          <w:b/>
          <w:i w:val="0"/>
          <w:color w:val="27C7D9"/>
          <w:sz w:val="26"/>
        </w:rPr>
        <w:t>The application recalculates the matter continuously</w:t>
      </w:r>
    </w:p>
    <w:p>
      <w:pPr>
        <w:keepNext w:val="0"/>
        <w:spacing w:before="0" w:after="120" w:line="264" w:lineRule="auto"/>
      </w:pPr>
      <w:r>
        <w:t>After each item was saved, the case totals, donut visualization, gift tally, separate-fund totals, spouse allocations, and draft equalization calculation updated without a separate calculation step.</w:t>
      </w:r>
    </w:p>
    <w:p>
      <w:pPr>
        <w:pStyle w:val="Heading2"/>
        <w:keepNext/>
      </w:pPr>
      <w:r>
        <w:rPr>
          <w:rFonts w:ascii="Aptos" w:hAnsi="Aptos"/>
          <w:b/>
          <w:i w:val="0"/>
          <w:color w:val="27C7D9"/>
          <w:sz w:val="26"/>
        </w:rPr>
        <w:t>Negotiation can be explored without changing the master allocation</w:t>
      </w:r>
    </w:p>
    <w:p>
      <w:pPr>
        <w:keepNext w:val="0"/>
        <w:spacing w:before="0" w:after="120" w:line="264" w:lineRule="auto"/>
      </w:pPr>
      <w:r>
        <w:t>The What-If Settlement Scenarios presents each asset with Spouse A, Spouse B, and Sell 50/50 choices. This is well suited to mediation because alternatives can be tested against the equalization balance before saving a named proposal.</w:t>
      </w:r>
    </w:p>
    <w:p>
      <w:pPr>
        <w:spacing w:before="80" w:after="80"/>
        <w:jc w:val="center"/>
      </w:pPr>
      <w:r>
        <w:drawing>
          <wp:inline xmlns:a="http://schemas.openxmlformats.org/drawingml/2006/main" xmlns:pic="http://schemas.openxmlformats.org/drawingml/2006/picture">
            <wp:extent cx="5577840" cy="3830911"/>
            <wp:docPr id="3" name="Picture 3"/>
            <wp:cNvGraphicFramePr>
              <a:graphicFrameLocks noChangeAspect="1"/>
            </wp:cNvGraphicFramePr>
            <a:graphic>
              <a:graphicData uri="http://schemas.openxmlformats.org/drawingml/2006/picture">
                <pic:pic>
                  <pic:nvPicPr>
                    <pic:cNvPr id="0" name="peproper-what-if-simulator-1785200978546.jpg"/>
                    <pic:cNvPicPr/>
                  </pic:nvPicPr>
                  <pic:blipFill>
                    <a:blip r:embed="rId13"/>
                    <a:stretch>
                      <a:fillRect/>
                    </a:stretch>
                  </pic:blipFill>
                  <pic:spPr>
                    <a:xfrm>
                      <a:off x="0" y="0"/>
                      <a:ext cx="5577840" cy="3830911"/>
                    </a:xfrm>
                    <a:prstGeom prst="rect"/>
                  </pic:spPr>
                </pic:pic>
              </a:graphicData>
            </a:graphic>
          </wp:inline>
        </w:drawing>
      </w:r>
    </w:p>
    <w:p>
      <w:pPr>
        <w:keepNext w:val="0"/>
        <w:spacing w:before="0" w:after="160" w:line="264" w:lineRule="auto"/>
        <w:jc w:val="center"/>
      </w:pPr>
      <w:r>
        <w:rPr>
          <w:rFonts w:ascii="Aptos" w:hAnsi="Aptos"/>
          <w:b w:val="0"/>
          <w:i/>
          <w:color w:val="5D6A72"/>
          <w:sz w:val="18"/>
        </w:rPr>
        <w:t>The simulator opens with the master allocation and a $740 equalization balance</w:t>
      </w:r>
    </w:p>
    <w:p>
      <w:pPr>
        <w:pStyle w:val="Heading1"/>
        <w:keepNext/>
      </w:pPr>
      <w:r>
        <w:rPr>
          <w:rFonts w:ascii="Aptos" w:hAnsi="Aptos"/>
          <w:b/>
          <w:i w:val="0"/>
          <w:color w:val="27C7D9"/>
          <w:sz w:val="32"/>
        </w:rPr>
        <w:t>3. Feature assessment</w:t>
      </w:r>
    </w:p>
    <w:tbl>
      <w:tblPr>
        <w:tblW w:type="dxa" w:w="9360"/>
        <w:jc w:val="center"/>
        <w:tblLayout w:type="fixed"/>
        <w:tblLook w:firstColumn="1" w:firstRow="1" w:lastColumn="0" w:lastRow="0" w:noHBand="0" w:noVBand="1" w:val="04A0"/>
      </w:tblPr>
      <w:tblGrid>
        <w:gridCol w:w="2232"/>
        <w:gridCol w:w="7128"/>
      </w:tblGrid>
      <w:tr>
        <w:trPr>
          <w:tblHeader w:val="true"/>
        </w:trPr>
        <w:tc>
          <w:tcPr>
            <w:tcW w:type="dxa" w:w="2232"/>
            <w:tcMar>
              <w:top w:w="80" w:type="dxa"/>
              <w:start w:w="120" w:type="dxa"/>
              <w:bottom w:w="80" w:type="dxa"/>
              <w:end w:w="120" w:type="dxa"/>
            </w:tcMar>
            <w:shd w:fill="08212B"/>
            <w:vAlign w:val="center"/>
          </w:tcPr>
          <w:p>
            <w:r>
              <w:rPr>
                <w:rFonts w:ascii="Aptos" w:hAnsi="Aptos"/>
                <w:b/>
                <w:i w:val="0"/>
                <w:color w:val="FFFFFF"/>
                <w:sz w:val="20"/>
              </w:rPr>
              <w:t>Capability</w:t>
            </w:r>
          </w:p>
        </w:tc>
        <w:tc>
          <w:tcPr>
            <w:tcW w:type="dxa" w:w="7128"/>
            <w:tcMar>
              <w:top w:w="80" w:type="dxa"/>
              <w:start w:w="120" w:type="dxa"/>
              <w:bottom w:w="80" w:type="dxa"/>
              <w:end w:w="120" w:type="dxa"/>
            </w:tcMar>
            <w:shd w:fill="08212B"/>
            <w:vAlign w:val="center"/>
          </w:tcPr>
          <w:p>
            <w:r>
              <w:rPr>
                <w:rFonts w:ascii="Aptos" w:hAnsi="Aptos"/>
                <w:b/>
                <w:i w:val="0"/>
                <w:color w:val="FFFFFF"/>
                <w:sz w:val="20"/>
              </w:rPr>
              <w:t>Observed implementation</w:t>
            </w:r>
          </w:p>
        </w:tc>
      </w:tr>
      <w:tr>
        <w:tc>
          <w:tcPr>
            <w:tcW w:type="dxa" w:w="2232"/>
            <w:vAlign w:val="center"/>
            <w:tcMar>
              <w:top w:w="80" w:type="dxa"/>
              <w:start w:w="120" w:type="dxa"/>
              <w:bottom w:w="80" w:type="dxa"/>
              <w:end w:w="120" w:type="dxa"/>
            </w:tcMar>
          </w:tcPr>
          <w:p>
            <w:r>
              <w:rPr>
                <w:rFonts w:ascii="Aptos" w:hAnsi="Aptos"/>
                <w:b/>
                <w:i w:val="0"/>
                <w:color w:val="08212B"/>
                <w:sz w:val="19"/>
              </w:rPr>
              <w:t>Case setup</w:t>
            </w:r>
          </w:p>
        </w:tc>
        <w:tc>
          <w:tcPr>
            <w:tcW w:type="dxa" w:w="7128"/>
            <w:vAlign w:val="center"/>
            <w:tcMar>
              <w:top w:w="80" w:type="dxa"/>
              <w:start w:w="120" w:type="dxa"/>
              <w:bottom w:w="80" w:type="dxa"/>
              <w:end w:w="120" w:type="dxa"/>
            </w:tcMar>
          </w:tcPr>
          <w:p>
            <w:r>
              <w:rPr>
                <w:rFonts w:ascii="Aptos" w:hAnsi="Aptos"/>
                <w:b w:val="0"/>
                <w:i w:val="0"/>
                <w:color w:val="17232A"/>
                <w:sz w:val="19"/>
              </w:rPr>
              <w:t>Two spouse names, marriage and separation dates, case number, and jurisdiction create an immediately usable matter.</w:t>
            </w:r>
          </w:p>
        </w:tc>
      </w:tr>
      <w:tr>
        <w:tc>
          <w:tcPr>
            <w:tcW w:type="dxa" w:w="2232"/>
            <w:shd w:fill="EEF4F6"/>
            <w:vAlign w:val="center"/>
            <w:tcMar>
              <w:top w:w="80" w:type="dxa"/>
              <w:start w:w="120" w:type="dxa"/>
              <w:bottom w:w="80" w:type="dxa"/>
              <w:end w:w="120" w:type="dxa"/>
            </w:tcMar>
          </w:tcPr>
          <w:p>
            <w:r>
              <w:rPr>
                <w:rFonts w:ascii="Aptos" w:hAnsi="Aptos"/>
                <w:b/>
                <w:i w:val="0"/>
                <w:color w:val="08212B"/>
                <w:sz w:val="19"/>
              </w:rPr>
              <w:t>Collaborative intake</w:t>
            </w:r>
          </w:p>
        </w:tc>
        <w:tc>
          <w:tcPr>
            <w:tcW w:type="dxa" w:w="7128"/>
            <w:shd w:fill="EEF4F6"/>
            <w:vAlign w:val="center"/>
            <w:tcMar>
              <w:top w:w="80" w:type="dxa"/>
              <w:start w:w="120" w:type="dxa"/>
              <w:bottom w:w="80" w:type="dxa"/>
              <w:end w:w="120" w:type="dxa"/>
            </w:tcMar>
          </w:tcPr>
          <w:p>
            <w:r>
              <w:rPr>
                <w:rFonts w:ascii="Aptos" w:hAnsi="Aptos"/>
                <w:b w:val="0"/>
                <w:i w:val="0"/>
                <w:color w:val="17232A"/>
                <w:sz w:val="19"/>
              </w:rPr>
              <w:t>Assigned share links and QR codes support concurrent cataloging with role attribution.</w:t>
            </w:r>
          </w:p>
        </w:tc>
      </w:tr>
      <w:tr>
        <w:tc>
          <w:tcPr>
            <w:tcW w:type="dxa" w:w="2232"/>
            <w:vAlign w:val="center"/>
            <w:tcMar>
              <w:top w:w="80" w:type="dxa"/>
              <w:start w:w="120" w:type="dxa"/>
              <w:bottom w:w="80" w:type="dxa"/>
              <w:end w:w="120" w:type="dxa"/>
            </w:tcMar>
          </w:tcPr>
          <w:p>
            <w:r>
              <w:rPr>
                <w:rFonts w:ascii="Aptos" w:hAnsi="Aptos"/>
                <w:b/>
                <w:i w:val="0"/>
                <w:color w:val="08212B"/>
                <w:sz w:val="19"/>
              </w:rPr>
              <w:t>Property classification</w:t>
            </w:r>
          </w:p>
        </w:tc>
        <w:tc>
          <w:tcPr>
            <w:tcW w:type="dxa" w:w="7128"/>
            <w:vAlign w:val="center"/>
            <w:tcMar>
              <w:top w:w="80" w:type="dxa"/>
              <w:start w:w="120" w:type="dxa"/>
              <w:bottom w:w="80" w:type="dxa"/>
              <w:end w:w="120" w:type="dxa"/>
            </w:tcMar>
          </w:tcPr>
          <w:p>
            <w:r>
              <w:rPr>
                <w:rFonts w:ascii="Aptos" w:hAnsi="Aptos"/>
                <w:b w:val="0"/>
                <w:i w:val="0"/>
                <w:color w:val="17232A"/>
                <w:sz w:val="19"/>
              </w:rPr>
              <w:t>Category, purchaser, purchase date, funding percentages, gifts, transmutation, condition notes, and photos are captured in one record.</w:t>
            </w:r>
          </w:p>
        </w:tc>
      </w:tr>
      <w:tr>
        <w:tc>
          <w:tcPr>
            <w:tcW w:type="dxa" w:w="2232"/>
            <w:shd w:fill="EEF4F6"/>
            <w:vAlign w:val="center"/>
            <w:tcMar>
              <w:top w:w="80" w:type="dxa"/>
              <w:start w:w="120" w:type="dxa"/>
              <w:bottom w:w="80" w:type="dxa"/>
              <w:end w:w="120" w:type="dxa"/>
            </w:tcMar>
          </w:tcPr>
          <w:p>
            <w:r>
              <w:rPr>
                <w:rFonts w:ascii="Aptos" w:hAnsi="Aptos"/>
                <w:b/>
                <w:i w:val="0"/>
                <w:color w:val="08212B"/>
                <w:sz w:val="19"/>
              </w:rPr>
              <w:t>Valuation and allocation</w:t>
            </w:r>
          </w:p>
        </w:tc>
        <w:tc>
          <w:tcPr>
            <w:tcW w:type="dxa" w:w="7128"/>
            <w:shd w:fill="EEF4F6"/>
            <w:vAlign w:val="center"/>
            <w:tcMar>
              <w:top w:w="80" w:type="dxa"/>
              <w:start w:w="120" w:type="dxa"/>
              <w:bottom w:w="80" w:type="dxa"/>
              <w:end w:w="120" w:type="dxa"/>
            </w:tcMar>
          </w:tcPr>
          <w:p>
            <w:r>
              <w:t>Original price, current FMV, possession, sale proceeds, separate funds, and optional 50/50 comparison baseline are calculated together.</w:t>
            </w:r>
          </w:p>
        </w:tc>
      </w:tr>
      <w:tr>
        <w:tc>
          <w:tcPr>
            <w:tcW w:type="dxa" w:w="2232"/>
            <w:vAlign w:val="center"/>
            <w:tcMar>
              <w:top w:w="80" w:type="dxa"/>
              <w:start w:w="120" w:type="dxa"/>
              <w:bottom w:w="80" w:type="dxa"/>
              <w:end w:w="120" w:type="dxa"/>
            </w:tcMar>
          </w:tcPr>
          <w:p>
            <w:r>
              <w:rPr>
                <w:rFonts w:ascii="Aptos" w:hAnsi="Aptos"/>
                <w:b/>
                <w:i w:val="0"/>
                <w:color w:val="08212B"/>
                <w:sz w:val="19"/>
              </w:rPr>
              <w:t>Negotiation</w:t>
            </w:r>
          </w:p>
        </w:tc>
        <w:tc>
          <w:tcPr>
            <w:tcW w:type="dxa" w:w="7128"/>
            <w:vAlign w:val="center"/>
            <w:tcMar>
              <w:top w:w="80" w:type="dxa"/>
              <w:start w:w="120" w:type="dxa"/>
              <w:bottom w:w="80" w:type="dxa"/>
              <w:end w:w="120" w:type="dxa"/>
            </w:tcMar>
          </w:tcPr>
          <w:p>
            <w:r>
              <w:t>The What-If Settlement Scenarios allows live reassignment and sale scenarios without changing the master inventory.</w:t>
            </w:r>
          </w:p>
        </w:tc>
      </w:tr>
      <w:tr>
        <w:tc>
          <w:tcPr>
            <w:tcW w:type="dxa" w:w="2232"/>
            <w:shd w:fill="EEF4F6"/>
            <w:vAlign w:val="center"/>
            <w:tcMar>
              <w:top w:w="80" w:type="dxa"/>
              <w:start w:w="120" w:type="dxa"/>
              <w:bottom w:w="80" w:type="dxa"/>
              <w:end w:w="120" w:type="dxa"/>
            </w:tcMar>
          </w:tcPr>
          <w:p>
            <w:r>
              <w:rPr>
                <w:rFonts w:ascii="Aptos" w:hAnsi="Aptos"/>
                <w:b/>
                <w:i w:val="0"/>
                <w:color w:val="08212B"/>
                <w:sz w:val="19"/>
              </w:rPr>
              <w:t>Output</w:t>
            </w:r>
          </w:p>
        </w:tc>
        <w:tc>
          <w:tcPr>
            <w:tcW w:type="dxa" w:w="7128"/>
            <w:shd w:fill="EEF4F6"/>
            <w:vAlign w:val="center"/>
            <w:tcMar>
              <w:top w:w="80" w:type="dxa"/>
              <w:start w:w="120" w:type="dxa"/>
              <w:bottom w:w="80" w:type="dxa"/>
              <w:end w:w="120" w:type="dxa"/>
            </w:tcMar>
          </w:tcPr>
          <w:p>
            <w:r>
              <w:t>CSV, Excel, Google Docs-style report, encrypted backup, property schedule, thumbnail schedule, and full photo exhibit are offered.</w:t>
            </w:r>
          </w:p>
        </w:tc>
      </w:tr>
      <w:tr>
        <w:tc>
          <w:tcPr>
            <w:tcW w:type="dxa" w:w="2232"/>
            <w:vAlign w:val="center"/>
            <w:tcMar>
              <w:top w:w="80" w:type="dxa"/>
              <w:start w:w="120" w:type="dxa"/>
              <w:bottom w:w="80" w:type="dxa"/>
              <w:end w:w="120" w:type="dxa"/>
            </w:tcMar>
          </w:tcPr>
          <w:p>
            <w:r>
              <w:rPr>
                <w:rFonts w:ascii="Aptos" w:hAnsi="Aptos"/>
                <w:b/>
                <w:i w:val="0"/>
                <w:color w:val="08212B"/>
                <w:sz w:val="19"/>
              </w:rPr>
              <w:t>Governance</w:t>
            </w:r>
          </w:p>
        </w:tc>
        <w:tc>
          <w:tcPr>
            <w:tcW w:type="dxa" w:w="7128"/>
            <w:vAlign w:val="center"/>
            <w:tcMar>
              <w:top w:w="80" w:type="dxa"/>
              <w:start w:w="120" w:type="dxa"/>
              <w:bottom w:w="80" w:type="dxa"/>
              <w:end w:w="120" w:type="dxa"/>
            </w:tcMar>
          </w:tcPr>
          <w:p>
            <w:r>
              <w:rPr>
                <w:rFonts w:ascii="Aptos" w:hAnsi="Aptos"/>
                <w:b w:val="0"/>
                <w:i w:val="0"/>
                <w:color w:val="17232A"/>
                <w:sz w:val="19"/>
              </w:rPr>
              <w:t>Audit history, revocable share links, legal disclaimers, privacy pages, system status, and profile controls reinforce professional use.</w:t>
            </w:r>
          </w:p>
        </w:tc>
      </w:tr>
    </w:tbl>
    <w:p>
      <w:pPr>
        <w:pStyle w:val="Heading2"/>
        <w:keepNext/>
      </w:pPr>
      <w:r>
        <w:rPr>
          <w:rFonts w:ascii="Aptos" w:hAnsi="Aptos"/>
          <w:b/>
          <w:i w:val="0"/>
          <w:color w:val="27C7D9"/>
          <w:sz w:val="26"/>
        </w:rPr>
        <w:t>What worked especially well</w:t>
      </w:r>
    </w:p>
    <w:p>
      <w:pPr>
        <w:pStyle w:val="Heading3"/>
        <w:keepNext/>
      </w:pPr>
      <w:r>
        <w:rPr>
          <w:rFonts w:ascii="Aptos" w:hAnsi="Aptos"/>
          <w:b/>
          <w:i w:val="0"/>
          <w:color w:val="08212B"/>
          <w:sz w:val="24"/>
        </w:rPr>
        <w:t>The application maintains one continuous line of evidence</w:t>
      </w:r>
    </w:p>
    <w:p>
      <w:pPr>
        <w:keepNext w:val="0"/>
        <w:spacing w:before="0" w:after="120" w:line="264" w:lineRule="auto"/>
      </w:pPr>
      <w:r>
        <w:rPr>
          <w:rFonts w:ascii="Aptos" w:hAnsi="Aptos"/>
          <w:b w:val="0"/>
          <w:i w:val="0"/>
          <w:color w:val="17232A"/>
          <w:sz w:val="22"/>
        </w:rPr>
        <w:t>Dates, purchaser, funding, FMV, disposition, photographs, audit attribution, and export options remain connected to the same property record. That continuity is more defensible and more useful than maintaining separate spreadsheets, photo folders, and email threads.</w:t>
      </w:r>
    </w:p>
    <w:p>
      <w:pPr>
        <w:pStyle w:val="Heading3"/>
        <w:keepNext/>
      </w:pPr>
      <w:r>
        <w:rPr>
          <w:rFonts w:ascii="Aptos" w:hAnsi="Aptos"/>
          <w:b/>
          <w:i w:val="0"/>
          <w:color w:val="08212B"/>
          <w:sz w:val="24"/>
        </w:rPr>
        <w:t>The collaboration model is practical</w:t>
      </w:r>
    </w:p>
    <w:p>
      <w:pPr>
        <w:keepNext w:val="0"/>
        <w:spacing w:before="0" w:after="120" w:line="264" w:lineRule="auto"/>
      </w:pPr>
      <w:r>
        <w:rPr>
          <w:rFonts w:ascii="Aptos" w:hAnsi="Aptos"/>
          <w:b w:val="0"/>
          <w:i w:val="0"/>
          <w:color w:val="17232A"/>
          <w:sz w:val="22"/>
        </w:rPr>
        <w:t>Spouse-specific links and QR codes can be revoked. Items submitted through assigned links can be attributed to the participant, which supports remote inventory work while preserving an audit trail.</w:t>
      </w:r>
    </w:p>
    <w:p>
      <w:pPr>
        <w:pStyle w:val="Heading3"/>
        <w:keepNext/>
      </w:pPr>
      <w:r>
        <w:rPr>
          <w:rFonts w:ascii="Aptos" w:hAnsi="Aptos"/>
          <w:b/>
          <w:i w:val="0"/>
          <w:color w:val="08212B"/>
          <w:sz w:val="24"/>
        </w:rPr>
        <w:t>The exports match real professional handoffs</w:t>
      </w:r>
    </w:p>
    <w:p>
      <w:pPr>
        <w:keepNext w:val="0"/>
        <w:spacing w:before="0" w:after="120" w:line="264" w:lineRule="auto"/>
      </w:pPr>
      <w:r>
        <w:t>The case workspace offers an encrypted backup, formatted Excel, CSV, a Google Docs-style report, a standard property schedule, a thumbnail schedule, and a full photo exhibit. These outputs support negotiation, discovery preparation, attorney review, and filing preparation.</w:t>
      </w:r>
    </w:p>
    <w:p>
      <w:pPr>
        <w:spacing w:before="80" w:after="80"/>
        <w:jc w:val="center"/>
      </w:pPr>
      <w:r>
        <w:drawing>
          <wp:inline xmlns:a="http://schemas.openxmlformats.org/drawingml/2006/main" xmlns:pic="http://schemas.openxmlformats.org/drawingml/2006/picture">
            <wp:extent cx="5943600" cy="4082918"/>
            <wp:docPr id="4" name="Picture 4"/>
            <wp:cNvGraphicFramePr>
              <a:graphicFrameLocks noChangeAspect="1"/>
            </wp:cNvGraphicFramePr>
            <a:graphic>
              <a:graphicData uri="http://schemas.openxmlformats.org/drawingml/2006/picture">
                <pic:pic>
                  <pic:nvPicPr>
                    <pic:cNvPr id="0" name="peproper-court-report-1785201017348.jpg"/>
                    <pic:cNvPicPr/>
                  </pic:nvPicPr>
                  <pic:blipFill>
                    <a:blip r:embed="rId14"/>
                    <a:stretch>
                      <a:fillRect/>
                    </a:stretch>
                  </pic:blipFill>
                  <pic:spPr>
                    <a:xfrm>
                      <a:off x="0" y="0"/>
                      <a:ext cx="5943600" cy="4082918"/>
                    </a:xfrm>
                    <a:prstGeom prst="rect"/>
                  </pic:spPr>
                </pic:pic>
              </a:graphicData>
            </a:graphic>
          </wp:inline>
        </w:drawing>
      </w:r>
    </w:p>
    <w:p>
      <w:pPr>
        <w:keepNext w:val="0"/>
        <w:spacing w:before="0" w:after="160" w:line="264" w:lineRule="auto"/>
        <w:jc w:val="center"/>
      </w:pPr>
      <w:r>
        <w:t>Generated Professional Property Schedule with equalization summary, case metrics, and itemized register</w:t>
      </w:r>
    </w:p>
    <w:p>
      <w:pPr>
        <w:pStyle w:val="Heading1"/>
        <w:keepNext/>
      </w:pPr>
      <w:r>
        <w:rPr>
          <w:rFonts w:ascii="Aptos" w:hAnsi="Aptos"/>
          <w:b/>
          <w:i w:val="0"/>
          <w:color w:val="27C7D9"/>
          <w:sz w:val="32"/>
        </w:rPr>
        <w:t>4. Product improvements revealed by the test</w:t>
      </w:r>
    </w:p>
    <w:p>
      <w:pPr>
        <w:pStyle w:val="Heading3"/>
        <w:keepNext/>
      </w:pPr>
      <w:r>
        <w:rPr>
          <w:rFonts w:ascii="Aptos" w:hAnsi="Aptos"/>
          <w:b/>
          <w:i w:val="0"/>
          <w:color w:val="08212B"/>
          <w:sz w:val="24"/>
        </w:rPr>
        <w:t>Explain the equalization formula directly beside the result</w:t>
      </w:r>
    </w:p>
    <w:p>
      <w:pPr>
        <w:keepNext w:val="0"/>
        <w:spacing w:before="0" w:after="120" w:line="264" w:lineRule="auto"/>
      </w:pPr>
      <w:r>
        <w:rPr>
          <w:rFonts w:ascii="Aptos" w:hAnsi="Aptos"/>
          <w:b w:val="0"/>
          <w:i w:val="0"/>
          <w:color w:val="17232A"/>
          <w:sz w:val="22"/>
        </w:rPr>
        <w:t>The screen showed $9,080 allocated to Julian and $8,780 allocated to Elena, yet the equalization payment was $740. The difference is driven by excluded gifts and separate-property treatment, but a user may initially expect the payment to be half of the $300 allocation difference. A compact formula disclosure would make the result immediately trustworthy.</w:t>
      </w:r>
    </w:p>
    <w:p>
      <w:pPr>
        <w:pStyle w:val="Heading3"/>
        <w:keepNext/>
      </w:pPr>
      <w:r>
        <w:rPr>
          <w:rFonts w:ascii="Aptos" w:hAnsi="Aptos"/>
          <w:b/>
          <w:i w:val="0"/>
          <w:color w:val="08212B"/>
          <w:sz w:val="24"/>
        </w:rPr>
        <w:t>Show exempt property in a separate awarded column</w:t>
      </w:r>
    </w:p>
    <w:p>
      <w:pPr>
        <w:keepNext w:val="0"/>
        <w:spacing w:before="0" w:after="120" w:line="264" w:lineRule="auto"/>
      </w:pPr>
      <w:r>
        <w:rPr>
          <w:rFonts w:ascii="Aptos" w:hAnsi="Aptos"/>
          <w:b w:val="0"/>
          <w:i w:val="0"/>
          <w:color w:val="17232A"/>
          <w:sz w:val="22"/>
        </w:rPr>
        <w:t>Pre-marriage assets and personal gifts displayed the correct possession decision, but the awarded-value columns showed $0 because the items were excluded from the community equalization base. Add “Separate/Gift Property Awarded” values or a visible exemption marker so possession and value do not appear contradictory.</w:t>
      </w:r>
    </w:p>
    <w:p>
      <w:pPr>
        <w:pStyle w:val="Heading3"/>
        <w:keepNext/>
      </w:pPr>
      <w:r>
        <w:rPr>
          <w:rFonts w:ascii="Aptos" w:hAnsi="Aptos"/>
          <w:b/>
          <w:i w:val="0"/>
          <w:color w:val="08212B"/>
          <w:sz w:val="24"/>
        </w:rPr>
        <w:t>Default the item register to item-number order</w:t>
      </w:r>
    </w:p>
    <w:p>
      <w:pPr>
        <w:keepNext w:val="0"/>
        <w:spacing w:before="0" w:after="120" w:line="264" w:lineRule="auto"/>
      </w:pPr>
      <w:r>
        <w:rPr>
          <w:rFonts w:ascii="Aptos" w:hAnsi="Aptos"/>
          <w:b w:val="0"/>
          <w:i w:val="0"/>
          <w:color w:val="17232A"/>
          <w:sz w:val="22"/>
        </w:rPr>
        <w:t>The register preserved entry sequence. Because a few items were added out of order during testing, #005 and #007 appeared before #004 and #006. Default numerical sorting would make the register and exports easier to audit.</w:t>
      </w:r>
    </w:p>
    <w:p>
      <w:pPr>
        <w:pStyle w:val="Heading3"/>
        <w:keepNext/>
      </w:pPr>
      <w:r>
        <w:rPr>
          <w:rFonts w:ascii="Aptos" w:hAnsi="Aptos"/>
          <w:b/>
          <w:i w:val="0"/>
          <w:color w:val="08212B"/>
          <w:sz w:val="24"/>
        </w:rPr>
        <w:t>Reduce horizontal table friction</w:t>
      </w:r>
    </w:p>
    <w:p>
      <w:pPr>
        <w:keepNext w:val="0"/>
        <w:spacing w:before="0" w:after="120" w:line="264" w:lineRule="auto"/>
      </w:pPr>
      <w:r>
        <w:rPr>
          <w:rFonts w:ascii="Aptos" w:hAnsi="Aptos"/>
          <w:b w:val="0"/>
          <w:i w:val="0"/>
          <w:color w:val="17232A"/>
          <w:sz w:val="22"/>
        </w:rPr>
        <w:t>The authenticated register contains many necessary columns and therefore scrolls horizontally on desktop. Consider a summary row with expandable details, or freeze the item number and description columns while scrolling.</w:t>
      </w:r>
    </w:p>
    <w:p>
      <w:pPr>
        <w:pStyle w:val="Heading3"/>
        <w:keepNext/>
      </w:pPr>
      <w:r>
        <w:rPr>
          <w:rFonts w:ascii="Aptos" w:hAnsi="Aptos"/>
          <w:b/>
          <w:i w:val="0"/>
          <w:color w:val="08212B"/>
          <w:sz w:val="24"/>
        </w:rPr>
        <w:t>Use careful security language</w:t>
      </w:r>
    </w:p>
    <w:p>
      <w:pPr>
        <w:keepNext w:val="0"/>
        <w:spacing w:before="0" w:after="120" w:line="264" w:lineRule="auto"/>
      </w:pPr>
      <w:r>
        <w:rPr>
          <w:rFonts w:ascii="Aptos" w:hAnsi="Aptos"/>
          <w:b w:val="0"/>
          <w:i w:val="0"/>
          <w:color w:val="17232A"/>
          <w:sz w:val="22"/>
        </w:rPr>
        <w:t>The public site uses the phrase “bank-grade security.” Marketing should prefer specific, verifiable claims such as password hashing, data isolation, revocable share tokens, encrypted backup, EXIF location stripping, and session controls.</w:t>
      </w:r>
    </w:p>
    <w:p>
      <w:pPr>
        <w:pStyle w:val="Heading1"/>
        <w:keepNext/>
      </w:pPr>
      <w:r>
        <w:rPr>
          <w:rFonts w:ascii="Aptos" w:hAnsi="Aptos"/>
          <w:b/>
          <w:i w:val="0"/>
          <w:color w:val="27C7D9"/>
          <w:sz w:val="32"/>
        </w:rPr>
        <w:t>5. Marketing foundation</w:t>
      </w:r>
    </w:p>
    <w:p>
      <w:pPr>
        <w:pStyle w:val="Heading2"/>
        <w:keepNext/>
      </w:pPr>
      <w:r>
        <w:rPr>
          <w:rFonts w:ascii="Aptos" w:hAnsi="Aptos"/>
          <w:b/>
          <w:i w:val="0"/>
          <w:color w:val="27C7D9"/>
          <w:sz w:val="26"/>
        </w:rPr>
        <w:t>Core positioning</w:t>
      </w:r>
    </w:p>
    <w:tbl>
      <w:tblPr>
        <w:tblW w:type="dxa" w:w="9360"/>
        <w:jc w:val="center"/>
        <w:tblLayout w:type="fixed"/>
        <w:tblLook w:firstColumn="1" w:firstRow="1" w:lastColumn="0" w:lastRow="0" w:noHBand="0" w:noVBand="1" w:val="04A0"/>
      </w:tblPr>
      <w:tblGrid>
        <w:gridCol w:w="9360"/>
      </w:tblGrid>
      <w:tr>
        <w:tc>
          <w:tcPr>
            <w:tcW w:type="dxa" w:w="9360"/>
            <w:tcMar>
              <w:top w:w="80" w:type="dxa"/>
              <w:start w:w="120" w:type="dxa"/>
              <w:bottom w:w="80" w:type="dxa"/>
              <w:end w:w="120" w:type="dxa"/>
            </w:tcMar>
            <w:shd w:fill="E5F8FA"/>
          </w:tcPr>
          <w:p>
            <w:r>
              <w:t>Positioning statement: PE Proper helps separating couples and family-law professionals inventory, value, allocate, and document personal property in one secure, collaborative matter - with automatic equalization and professional property schedule reporting.</w:t>
            </w:r>
          </w:p>
        </w:tc>
      </w:tr>
    </w:tbl>
    <w:p>
      <w:pPr>
        <w:spacing w:after="40"/>
      </w:pPr>
    </w:p>
    <w:p>
      <w:pPr>
        <w:pStyle w:val="Heading2"/>
        <w:keepNext/>
      </w:pPr>
      <w:r>
        <w:rPr>
          <w:rFonts w:ascii="Aptos" w:hAnsi="Aptos"/>
          <w:b/>
          <w:i w:val="0"/>
          <w:color w:val="27C7D9"/>
          <w:sz w:val="26"/>
        </w:rPr>
        <w:t>Homepage hero</w:t>
      </w:r>
    </w:p>
    <w:p>
      <w:pPr>
        <w:keepNext w:val="0"/>
        <w:spacing w:before="0" w:after="80" w:line="264" w:lineRule="auto"/>
      </w:pPr>
      <w:r>
        <w:rPr>
          <w:rFonts w:ascii="Aptos" w:hAnsi="Aptos"/>
          <w:b/>
          <w:i w:val="0"/>
          <w:color w:val="08212B"/>
          <w:sz w:val="40"/>
        </w:rPr>
        <w:t>Divide the property. See the balance. Document the agreement.</w:t>
      </w:r>
    </w:p>
    <w:p>
      <w:pPr>
        <w:keepNext w:val="0"/>
        <w:spacing w:before="0" w:after="120" w:line="264" w:lineRule="auto"/>
      </w:pPr>
      <w:r>
        <w:rPr>
          <w:rFonts w:ascii="Aptos" w:hAnsi="Aptos"/>
          <w:b w:val="0"/>
          <w:i w:val="0"/>
          <w:color w:val="17232A"/>
          <w:sz w:val="22"/>
        </w:rPr>
        <w:t>Build a complete household inventory, assign every item, test settlement options, and generate professional schedules without wrestling with disconnected spreadsheets and photo folders.</w:t>
      </w:r>
    </w:p>
    <w:p>
      <w:pPr>
        <w:keepNext w:val="0"/>
        <w:spacing w:before="0" w:after="120" w:line="264" w:lineRule="auto"/>
      </w:pPr>
      <w:r>
        <w:rPr>
          <w:rFonts w:ascii="Aptos" w:hAnsi="Aptos"/>
          <w:b w:val="0"/>
          <w:i w:val="0"/>
          <w:color w:val="17232A"/>
          <w:sz w:val="22"/>
        </w:rPr>
        <w:t>Primary call to action: Start a Free Matter. Secondary call to action: Watch the Two-Minute Tour.</w:t>
      </w:r>
    </w:p>
    <w:p>
      <w:pPr>
        <w:pStyle w:val="Heading2"/>
        <w:keepNext/>
      </w:pPr>
      <w:r>
        <w:rPr>
          <w:rFonts w:ascii="Aptos" w:hAnsi="Aptos"/>
          <w:b/>
          <w:i w:val="0"/>
          <w:color w:val="27C7D9"/>
          <w:sz w:val="26"/>
        </w:rPr>
        <w:t>Thirty-second product pitch</w:t>
      </w:r>
    </w:p>
    <w:p>
      <w:pPr>
        <w:keepNext w:val="0"/>
        <w:spacing w:before="0" w:after="120" w:line="264" w:lineRule="auto"/>
      </w:pPr>
      <w:r>
        <w:t>PE Proper gives each property item a complete record - description, photo, purchaser, date, funding source, current value, and final disposition. Spouses can catalog concurrently from a phone, mediators can test trades in real time, and legal professionals can export a clean property schedule, spreadsheet, or photo exhibit. The equalization engine keeps the financial balance visible throughout the process.</w:t>
      </w:r>
    </w:p>
    <w:p>
      <w:pPr>
        <w:pStyle w:val="Heading2"/>
        <w:keepNext/>
      </w:pPr>
      <w:r>
        <w:rPr>
          <w:rFonts w:ascii="Aptos" w:hAnsi="Aptos"/>
          <w:b/>
          <w:i w:val="0"/>
          <w:color w:val="27C7D9"/>
          <w:sz w:val="26"/>
        </w:rPr>
        <w:t>Feature pillars</w:t>
      </w:r>
    </w:p>
    <w:p>
      <w:pPr>
        <w:pStyle w:val="Heading3"/>
        <w:keepNext/>
      </w:pPr>
      <w:r>
        <w:rPr>
          <w:rFonts w:ascii="Aptos" w:hAnsi="Aptos"/>
          <w:b/>
          <w:i w:val="0"/>
          <w:color w:val="08212B"/>
          <w:sz w:val="24"/>
        </w:rPr>
        <w:t>Capture together</w:t>
      </w:r>
    </w:p>
    <w:p>
      <w:pPr>
        <w:keepNext w:val="0"/>
        <w:spacing w:before="0" w:after="120" w:line="264" w:lineRule="auto"/>
      </w:pPr>
      <w:r>
        <w:rPr>
          <w:rFonts w:ascii="Aptos" w:hAnsi="Aptos"/>
          <w:b w:val="0"/>
          <w:i w:val="0"/>
          <w:color w:val="17232A"/>
          <w:sz w:val="22"/>
        </w:rPr>
        <w:t>Assigned links and mobile QR entry let both spouses or professional participants document items concurrently with attribution.</w:t>
      </w:r>
    </w:p>
    <w:p>
      <w:pPr>
        <w:pStyle w:val="Heading3"/>
        <w:keepNext/>
      </w:pPr>
      <w:r>
        <w:rPr>
          <w:rFonts w:ascii="Aptos" w:hAnsi="Aptos"/>
          <w:b/>
          <w:i w:val="0"/>
          <w:color w:val="08212B"/>
          <w:sz w:val="24"/>
        </w:rPr>
        <w:t>Classify correctly</w:t>
      </w:r>
    </w:p>
    <w:p>
      <w:pPr>
        <w:keepNext w:val="0"/>
        <w:spacing w:before="0" w:after="120" w:line="264" w:lineRule="auto"/>
      </w:pPr>
      <w:r>
        <w:rPr>
          <w:rFonts w:ascii="Aptos" w:hAnsi="Aptos"/>
          <w:b w:val="0"/>
          <w:i w:val="0"/>
          <w:color w:val="17232A"/>
          <w:sz w:val="22"/>
        </w:rPr>
        <w:t>Separate funds, community funds, gifts, transmutation, purchase history, and current value stay attached to each item.</w:t>
      </w:r>
    </w:p>
    <w:p>
      <w:pPr>
        <w:pStyle w:val="Heading3"/>
        <w:keepNext/>
      </w:pPr>
      <w:r>
        <w:rPr>
          <w:rFonts w:ascii="Aptos" w:hAnsi="Aptos"/>
          <w:b/>
          <w:i w:val="0"/>
          <w:color w:val="08212B"/>
          <w:sz w:val="24"/>
        </w:rPr>
        <w:t>Negotiate visually</w:t>
      </w:r>
    </w:p>
    <w:p>
      <w:pPr>
        <w:keepNext w:val="0"/>
        <w:spacing w:before="0" w:after="120" w:line="264" w:lineRule="auto"/>
      </w:pPr>
      <w:r>
        <w:t>Live allocation totals, analytics, and the What-If Settlement Scenarios make tradeoffs visible before an agreement is saved.</w:t>
      </w:r>
    </w:p>
    <w:p>
      <w:pPr>
        <w:pStyle w:val="Heading3"/>
        <w:keepNext/>
      </w:pPr>
      <w:r>
        <w:rPr>
          <w:rFonts w:ascii="Aptos" w:hAnsi="Aptos"/>
          <w:b/>
          <w:i w:val="0"/>
          <w:color w:val="08212B"/>
          <w:sz w:val="24"/>
        </w:rPr>
        <w:t>Export professionally</w:t>
      </w:r>
    </w:p>
    <w:p>
      <w:pPr>
        <w:keepNext w:val="0"/>
        <w:spacing w:before="0" w:after="120" w:line="264" w:lineRule="auto"/>
      </w:pPr>
      <w:r>
        <w:rPr>
          <w:rFonts w:ascii="Aptos" w:hAnsi="Aptos"/>
          <w:b w:val="0"/>
          <w:i w:val="0"/>
          <w:color w:val="17232A"/>
          <w:sz w:val="22"/>
        </w:rPr>
        <w:t>Court schedules, spreadsheets, document reports, photo thumbnails, full exhibits, and encrypted backups move the matter forward.</w:t>
      </w:r>
    </w:p>
    <w:p>
      <w:pPr>
        <w:pStyle w:val="Heading2"/>
        <w:keepNext/>
      </w:pPr>
      <w:r>
        <w:rPr>
          <w:rFonts w:ascii="Aptos" w:hAnsi="Aptos"/>
          <w:b/>
          <w:i w:val="0"/>
          <w:color w:val="27C7D9"/>
          <w:sz w:val="26"/>
        </w:rPr>
        <w:t>Audience-specific messaging</w:t>
      </w:r>
    </w:p>
    <w:tbl>
      <w:tblPr>
        <w:tblW w:type="dxa" w:w="9360"/>
        <w:jc w:val="center"/>
        <w:tblLayout w:type="fixed"/>
        <w:tblLook w:firstColumn="1" w:firstRow="1" w:lastColumn="0" w:lastRow="0" w:noHBand="0" w:noVBand="1" w:val="04A0"/>
      </w:tblPr>
      <w:tblGrid>
        <w:gridCol w:w="1944"/>
        <w:gridCol w:w="3096"/>
        <w:gridCol w:w="4320"/>
      </w:tblGrid>
      <w:tr>
        <w:trPr>
          <w:tblHeader w:val="true"/>
        </w:trPr>
        <w:tc>
          <w:tcPr>
            <w:tcW w:type="dxa" w:w="1944"/>
            <w:tcMar>
              <w:top w:w="80" w:type="dxa"/>
              <w:start w:w="120" w:type="dxa"/>
              <w:bottom w:w="80" w:type="dxa"/>
              <w:end w:w="120" w:type="dxa"/>
            </w:tcMar>
            <w:shd w:fill="08212B"/>
          </w:tcPr>
          <w:p>
            <w:r>
              <w:rPr>
                <w:rFonts w:ascii="Aptos" w:hAnsi="Aptos"/>
                <w:b/>
                <w:i w:val="0"/>
                <w:color w:val="FFFFFF"/>
                <w:sz w:val="19"/>
              </w:rPr>
              <w:t>Audience</w:t>
            </w:r>
          </w:p>
        </w:tc>
        <w:tc>
          <w:tcPr>
            <w:tcW w:type="dxa" w:w="3096"/>
            <w:tcMar>
              <w:top w:w="80" w:type="dxa"/>
              <w:start w:w="120" w:type="dxa"/>
              <w:bottom w:w="80" w:type="dxa"/>
              <w:end w:w="120" w:type="dxa"/>
            </w:tcMar>
            <w:shd w:fill="08212B"/>
          </w:tcPr>
          <w:p>
            <w:r>
              <w:rPr>
                <w:rFonts w:ascii="Aptos" w:hAnsi="Aptos"/>
                <w:b/>
                <w:i w:val="0"/>
                <w:color w:val="FFFFFF"/>
                <w:sz w:val="19"/>
              </w:rPr>
              <w:t>Problem</w:t>
            </w:r>
          </w:p>
        </w:tc>
        <w:tc>
          <w:tcPr>
            <w:tcW w:type="dxa" w:w="4320"/>
            <w:tcMar>
              <w:top w:w="80" w:type="dxa"/>
              <w:start w:w="120" w:type="dxa"/>
              <w:bottom w:w="80" w:type="dxa"/>
              <w:end w:w="120" w:type="dxa"/>
            </w:tcMar>
            <w:shd w:fill="08212B"/>
          </w:tcPr>
          <w:p>
            <w:r>
              <w:rPr>
                <w:rFonts w:ascii="Aptos" w:hAnsi="Aptos"/>
                <w:b/>
                <w:i w:val="0"/>
                <w:color w:val="FFFFFF"/>
                <w:sz w:val="19"/>
              </w:rPr>
              <w:t>Message</w:t>
            </w:r>
          </w:p>
        </w:tc>
      </w:tr>
      <w:tr>
        <w:tc>
          <w:tcPr>
            <w:tcW w:type="dxa" w:w="1944"/>
            <w:vAlign w:val="center"/>
            <w:tcMar>
              <w:top w:w="80" w:type="dxa"/>
              <w:start w:w="120" w:type="dxa"/>
              <w:bottom w:w="80" w:type="dxa"/>
              <w:end w:w="120" w:type="dxa"/>
            </w:tcMar>
          </w:tcPr>
          <w:p>
            <w:r>
              <w:rPr>
                <w:rFonts w:ascii="Aptos" w:hAnsi="Aptos"/>
                <w:b/>
                <w:i w:val="0"/>
                <w:color w:val="08212B"/>
                <w:sz w:val="18"/>
              </w:rPr>
              <w:t>Separating spouses</w:t>
            </w:r>
          </w:p>
        </w:tc>
        <w:tc>
          <w:tcPr>
            <w:tcW w:type="dxa" w:w="3096"/>
            <w:vAlign w:val="center"/>
            <w:tcMar>
              <w:top w:w="80" w:type="dxa"/>
              <w:start w:w="120" w:type="dxa"/>
              <w:bottom w:w="80" w:type="dxa"/>
              <w:end w:w="120" w:type="dxa"/>
            </w:tcMar>
          </w:tcPr>
          <w:p>
            <w:r>
              <w:rPr>
                <w:rFonts w:ascii="Aptos" w:hAnsi="Aptos"/>
                <w:b w:val="0"/>
                <w:i w:val="0"/>
                <w:color w:val="17232A"/>
                <w:sz w:val="18"/>
              </w:rPr>
              <w:t>A stressful, disputed household inventory</w:t>
            </w:r>
          </w:p>
        </w:tc>
        <w:tc>
          <w:tcPr>
            <w:tcW w:type="dxa" w:w="4320"/>
            <w:vAlign w:val="center"/>
            <w:tcMar>
              <w:top w:w="80" w:type="dxa"/>
              <w:start w:w="120" w:type="dxa"/>
              <w:bottom w:w="80" w:type="dxa"/>
              <w:end w:w="120" w:type="dxa"/>
            </w:tcMar>
          </w:tcPr>
          <w:p>
            <w:r>
              <w:rPr>
                <w:rFonts w:ascii="Aptos" w:hAnsi="Aptos"/>
                <w:b w:val="0"/>
                <w:i w:val="0"/>
                <w:color w:val="17232A"/>
                <w:sz w:val="18"/>
              </w:rPr>
              <w:t>Create one shared record, make possession decisions, and see the financial balance change.</w:t>
            </w:r>
          </w:p>
        </w:tc>
      </w:tr>
      <w:tr>
        <w:tc>
          <w:tcPr>
            <w:tcW w:type="dxa" w:w="1944"/>
            <w:shd w:fill="EEF4F6"/>
            <w:vAlign w:val="center"/>
            <w:tcMar>
              <w:top w:w="80" w:type="dxa"/>
              <w:start w:w="120" w:type="dxa"/>
              <w:bottom w:w="80" w:type="dxa"/>
              <w:end w:w="120" w:type="dxa"/>
            </w:tcMar>
          </w:tcPr>
          <w:p>
            <w:r>
              <w:rPr>
                <w:rFonts w:ascii="Aptos" w:hAnsi="Aptos"/>
                <w:b/>
                <w:i w:val="0"/>
                <w:color w:val="08212B"/>
                <w:sz w:val="18"/>
              </w:rPr>
              <w:t>Mediators</w:t>
            </w:r>
          </w:p>
        </w:tc>
        <w:tc>
          <w:tcPr>
            <w:tcW w:type="dxa" w:w="3096"/>
            <w:shd w:fill="EEF4F6"/>
            <w:vAlign w:val="center"/>
            <w:tcMar>
              <w:top w:w="80" w:type="dxa"/>
              <w:start w:w="120" w:type="dxa"/>
              <w:bottom w:w="80" w:type="dxa"/>
              <w:end w:w="120" w:type="dxa"/>
            </w:tcMar>
          </w:tcPr>
          <w:p>
            <w:r>
              <w:rPr>
                <w:rFonts w:ascii="Aptos" w:hAnsi="Aptos"/>
                <w:b w:val="0"/>
                <w:i w:val="0"/>
                <w:color w:val="17232A"/>
                <w:sz w:val="18"/>
              </w:rPr>
              <w:t>Slow manual trades and spreadsheet recalculation</w:t>
            </w:r>
          </w:p>
        </w:tc>
        <w:tc>
          <w:tcPr>
            <w:tcW w:type="dxa" w:w="4320"/>
            <w:shd w:fill="EEF4F6"/>
            <w:vAlign w:val="center"/>
            <w:tcMar>
              <w:top w:w="80" w:type="dxa"/>
              <w:start w:w="120" w:type="dxa"/>
              <w:bottom w:w="80" w:type="dxa"/>
              <w:end w:w="120" w:type="dxa"/>
            </w:tcMar>
          </w:tcPr>
          <w:p>
            <w:r>
              <w:rPr>
                <w:rFonts w:ascii="Aptos" w:hAnsi="Aptos"/>
                <w:b w:val="0"/>
                <w:i w:val="0"/>
                <w:color w:val="17232A"/>
                <w:sz w:val="18"/>
              </w:rPr>
              <w:t>Test allocation scenarios live while preserving the original case record.</w:t>
            </w:r>
          </w:p>
        </w:tc>
      </w:tr>
      <w:tr>
        <w:tc>
          <w:tcPr>
            <w:tcW w:type="dxa" w:w="1944"/>
            <w:vAlign w:val="center"/>
            <w:tcMar>
              <w:top w:w="80" w:type="dxa"/>
              <w:start w:w="120" w:type="dxa"/>
              <w:bottom w:w="80" w:type="dxa"/>
              <w:end w:w="120" w:type="dxa"/>
            </w:tcMar>
          </w:tcPr>
          <w:p>
            <w:r>
              <w:rPr>
                <w:rFonts w:ascii="Aptos" w:hAnsi="Aptos"/>
                <w:b/>
                <w:i w:val="0"/>
                <w:color w:val="08212B"/>
                <w:sz w:val="18"/>
              </w:rPr>
              <w:t>Attorneys and paralegals</w:t>
            </w:r>
          </w:p>
        </w:tc>
        <w:tc>
          <w:tcPr>
            <w:tcW w:type="dxa" w:w="3096"/>
            <w:vAlign w:val="center"/>
            <w:tcMar>
              <w:top w:w="80" w:type="dxa"/>
              <w:start w:w="120" w:type="dxa"/>
              <w:bottom w:w="80" w:type="dxa"/>
              <w:end w:w="120" w:type="dxa"/>
            </w:tcMar>
          </w:tcPr>
          <w:p>
            <w:r>
              <w:rPr>
                <w:rFonts w:ascii="Aptos" w:hAnsi="Aptos"/>
                <w:b w:val="0"/>
                <w:i w:val="0"/>
                <w:color w:val="17232A"/>
                <w:sz w:val="18"/>
              </w:rPr>
              <w:t>Incomplete inventories and scattered evidence</w:t>
            </w:r>
          </w:p>
        </w:tc>
        <w:tc>
          <w:tcPr>
            <w:tcW w:type="dxa" w:w="4320"/>
            <w:vAlign w:val="center"/>
            <w:tcMar>
              <w:top w:w="80" w:type="dxa"/>
              <w:start w:w="120" w:type="dxa"/>
              <w:bottom w:w="80" w:type="dxa"/>
              <w:end w:w="120" w:type="dxa"/>
            </w:tcMar>
          </w:tcPr>
          <w:p>
            <w:r>
              <w:rPr>
                <w:rFonts w:ascii="Aptos" w:hAnsi="Aptos"/>
                <w:b w:val="0"/>
                <w:i w:val="0"/>
                <w:color w:val="17232A"/>
                <w:sz w:val="18"/>
              </w:rPr>
              <w:t>Receive a structured register with photos, values, audit history, and court-oriented exports.</w:t>
            </w:r>
          </w:p>
        </w:tc>
      </w:tr>
      <w:tr>
        <w:tc>
          <w:tcPr>
            <w:tcW w:type="dxa" w:w="1944"/>
            <w:shd w:fill="EEF4F6"/>
            <w:vAlign w:val="center"/>
            <w:tcMar>
              <w:top w:w="80" w:type="dxa"/>
              <w:start w:w="120" w:type="dxa"/>
              <w:bottom w:w="80" w:type="dxa"/>
              <w:end w:w="120" w:type="dxa"/>
            </w:tcMar>
          </w:tcPr>
          <w:p>
            <w:r>
              <w:rPr>
                <w:rFonts w:ascii="Aptos" w:hAnsi="Aptos"/>
                <w:b/>
                <w:i w:val="0"/>
                <w:color w:val="08212B"/>
                <w:sz w:val="18"/>
              </w:rPr>
              <w:t>Law firms</w:t>
            </w:r>
          </w:p>
        </w:tc>
        <w:tc>
          <w:tcPr>
            <w:tcW w:type="dxa" w:w="3096"/>
            <w:shd w:fill="EEF4F6"/>
            <w:vAlign w:val="center"/>
            <w:tcMar>
              <w:top w:w="80" w:type="dxa"/>
              <w:start w:w="120" w:type="dxa"/>
              <w:bottom w:w="80" w:type="dxa"/>
              <w:end w:w="120" w:type="dxa"/>
            </w:tcMar>
          </w:tcPr>
          <w:p>
            <w:r>
              <w:rPr>
                <w:rFonts w:ascii="Aptos" w:hAnsi="Aptos"/>
                <w:b w:val="0"/>
                <w:i w:val="0"/>
                <w:color w:val="17232A"/>
                <w:sz w:val="18"/>
              </w:rPr>
              <w:t>Inconsistent matter intake and team handoffs</w:t>
            </w:r>
          </w:p>
        </w:tc>
        <w:tc>
          <w:tcPr>
            <w:tcW w:type="dxa" w:w="4320"/>
            <w:shd w:fill="EEF4F6"/>
            <w:vAlign w:val="center"/>
            <w:tcMar>
              <w:top w:w="80" w:type="dxa"/>
              <w:start w:w="120" w:type="dxa"/>
              <w:bottom w:w="80" w:type="dxa"/>
              <w:end w:w="120" w:type="dxa"/>
            </w:tcMar>
          </w:tcPr>
          <w:p>
            <w:r>
              <w:rPr>
                <w:rFonts w:ascii="Aptos" w:hAnsi="Aptos"/>
                <w:b w:val="0"/>
                <w:i w:val="0"/>
                <w:color w:val="17232A"/>
                <w:sz w:val="18"/>
              </w:rPr>
              <w:t>Standardize personal-property matters with reusable workflows, roles, organization, and reporting.</w:t>
            </w:r>
          </w:p>
        </w:tc>
      </w:tr>
    </w:tbl>
    <w:p>
      <w:pPr>
        <w:pStyle w:val="Heading2"/>
        <w:keepNext/>
      </w:pPr>
      <w:r>
        <w:rPr>
          <w:rFonts w:ascii="Aptos" w:hAnsi="Aptos"/>
          <w:b/>
          <w:i w:val="0"/>
          <w:color w:val="27C7D9"/>
          <w:sz w:val="26"/>
        </w:rPr>
        <w:t>Recommended claims hierarchy</w:t>
      </w:r>
    </w:p>
    <w:p>
      <w:pPr>
        <w:keepNext w:val="0"/>
        <w:spacing w:before="0" w:after="120" w:line="264" w:lineRule="auto"/>
      </w:pPr>
      <w:r>
        <w:rPr>
          <w:rFonts w:ascii="Aptos" w:hAnsi="Aptos"/>
          <w:b w:val="0"/>
          <w:i w:val="0"/>
          <w:color w:val="17232A"/>
          <w:sz w:val="22"/>
        </w:rPr>
        <w:t>Lead with: organized property inventory, automatic equalization, collaborative mobile capture, mediation simulation, and professional exports.</w:t>
      </w:r>
    </w:p>
    <w:p>
      <w:pPr>
        <w:keepNext w:val="0"/>
        <w:spacing w:before="0" w:after="120" w:line="264" w:lineRule="auto"/>
      </w:pPr>
      <w:r>
        <w:rPr>
          <w:rFonts w:ascii="Aptos" w:hAnsi="Aptos"/>
          <w:b w:val="0"/>
          <w:i w:val="0"/>
          <w:color w:val="17232A"/>
          <w:sz w:val="22"/>
        </w:rPr>
        <w:t>Support with: separate-property funding fields, gift treatment, revocable links, audit attribution, encrypted backup, EXIF location stripping, and multiple report formats.</w:t>
      </w:r>
    </w:p>
    <w:p>
      <w:pPr>
        <w:keepNext w:val="0"/>
        <w:spacing w:before="0" w:after="120" w:line="264" w:lineRule="auto"/>
      </w:pPr>
      <w:r>
        <w:rPr>
          <w:rFonts w:ascii="Aptos" w:hAnsi="Aptos"/>
          <w:b w:val="0"/>
          <w:i w:val="0"/>
          <w:color w:val="17232A"/>
          <w:sz w:val="22"/>
        </w:rPr>
        <w:t>Qualify clearly: PE Proper is software for property organization and financial calculation. It is not a law firm and does not provide legal advice.</w:t>
      </w:r>
    </w:p>
    <w:p>
      <w:pPr>
        <w:pStyle w:val="Heading1"/>
        <w:keepNext/>
      </w:pPr>
      <w:r>
        <w:rPr>
          <w:rFonts w:ascii="Aptos" w:hAnsi="Aptos"/>
          <w:b/>
          <w:i w:val="0"/>
          <w:color w:val="27C7D9"/>
          <w:sz w:val="32"/>
        </w:rPr>
        <w:t>6. Recommended two-minute tour narrative</w:t>
      </w:r>
    </w:p>
    <w:tbl>
      <w:tblPr>
        <w:tblW w:type="dxa" w:w="9360"/>
        <w:jc w:val="center"/>
        <w:tblLayout w:type="fixed"/>
        <w:tblLook w:firstColumn="1" w:firstRow="1" w:lastColumn="0" w:lastRow="0" w:noHBand="0" w:noVBand="1" w:val="04A0"/>
      </w:tblPr>
      <w:tblGrid>
        <w:gridCol w:w="1296"/>
        <w:gridCol w:w="2376"/>
        <w:gridCol w:w="5688"/>
      </w:tblGrid>
      <w:tr>
        <w:trPr>
          <w:tblHeader w:val="true"/>
        </w:trPr>
        <w:tc>
          <w:tcPr>
            <w:tcW w:type="dxa" w:w="1296"/>
            <w:tcMar>
              <w:top w:w="80" w:type="dxa"/>
              <w:start w:w="120" w:type="dxa"/>
              <w:bottom w:w="80" w:type="dxa"/>
              <w:end w:w="120" w:type="dxa"/>
            </w:tcMar>
            <w:shd w:fill="08212B"/>
          </w:tcPr>
          <w:p>
            <w:r>
              <w:rPr>
                <w:rFonts w:ascii="Aptos" w:hAnsi="Aptos"/>
                <w:b/>
                <w:i w:val="0"/>
                <w:color w:val="FFFFFF"/>
                <w:sz w:val="19"/>
              </w:rPr>
              <w:t>Time</w:t>
            </w:r>
          </w:p>
        </w:tc>
        <w:tc>
          <w:tcPr>
            <w:tcW w:type="dxa" w:w="2376"/>
            <w:tcMar>
              <w:top w:w="80" w:type="dxa"/>
              <w:start w:w="120" w:type="dxa"/>
              <w:bottom w:w="80" w:type="dxa"/>
              <w:end w:w="120" w:type="dxa"/>
            </w:tcMar>
            <w:shd w:fill="08212B"/>
          </w:tcPr>
          <w:p>
            <w:r>
              <w:rPr>
                <w:rFonts w:ascii="Aptos" w:hAnsi="Aptos"/>
                <w:b/>
                <w:i w:val="0"/>
                <w:color w:val="FFFFFF"/>
                <w:sz w:val="19"/>
              </w:rPr>
              <w:t>Scene</w:t>
            </w:r>
          </w:p>
        </w:tc>
        <w:tc>
          <w:tcPr>
            <w:tcW w:type="dxa" w:w="5688"/>
            <w:tcMar>
              <w:top w:w="80" w:type="dxa"/>
              <w:start w:w="120" w:type="dxa"/>
              <w:bottom w:w="80" w:type="dxa"/>
              <w:end w:w="120" w:type="dxa"/>
            </w:tcMar>
            <w:shd w:fill="08212B"/>
          </w:tcPr>
          <w:p>
            <w:r>
              <w:rPr>
                <w:rFonts w:ascii="Aptos" w:hAnsi="Aptos"/>
                <w:b/>
                <w:i w:val="0"/>
                <w:color w:val="FFFFFF"/>
                <w:sz w:val="19"/>
              </w:rPr>
              <w:t>Narration</w:t>
            </w:r>
          </w:p>
        </w:tc>
      </w:tr>
      <w:tr>
        <w:tc>
          <w:tcPr>
            <w:tcW w:type="dxa" w:w="1296"/>
            <w:vAlign w:val="center"/>
            <w:tcMar>
              <w:top w:w="80" w:type="dxa"/>
              <w:start w:w="120" w:type="dxa"/>
              <w:bottom w:w="80" w:type="dxa"/>
              <w:end w:w="120" w:type="dxa"/>
            </w:tcMar>
          </w:tcPr>
          <w:p>
            <w:r>
              <w:rPr>
                <w:rFonts w:ascii="Aptos" w:hAnsi="Aptos"/>
                <w:b/>
                <w:i w:val="0"/>
                <w:color w:val="08212B"/>
                <w:sz w:val="17"/>
              </w:rPr>
              <w:t>0:00-0:12</w:t>
            </w:r>
          </w:p>
        </w:tc>
        <w:tc>
          <w:tcPr>
            <w:tcW w:type="dxa" w:w="2376"/>
            <w:vAlign w:val="center"/>
            <w:tcMar>
              <w:top w:w="80" w:type="dxa"/>
              <w:start w:w="120" w:type="dxa"/>
              <w:bottom w:w="80" w:type="dxa"/>
              <w:end w:w="120" w:type="dxa"/>
            </w:tcMar>
          </w:tcPr>
          <w:p>
            <w:r>
              <w:rPr>
                <w:rFonts w:ascii="Aptos" w:hAnsi="Aptos"/>
                <w:b/>
                <w:i w:val="0"/>
                <w:color w:val="08212B"/>
                <w:sz w:val="17"/>
              </w:rPr>
              <w:t>Open with the problem</w:t>
            </w:r>
          </w:p>
        </w:tc>
        <w:tc>
          <w:tcPr>
            <w:tcW w:type="dxa" w:w="5688"/>
            <w:vAlign w:val="center"/>
            <w:tcMar>
              <w:top w:w="80" w:type="dxa"/>
              <w:start w:w="120" w:type="dxa"/>
              <w:bottom w:w="80" w:type="dxa"/>
              <w:end w:w="120" w:type="dxa"/>
            </w:tcMar>
          </w:tcPr>
          <w:p>
            <w:r>
              <w:rPr>
                <w:rFonts w:ascii="Aptos" w:hAnsi="Aptos"/>
                <w:b w:val="0"/>
                <w:i w:val="0"/>
                <w:color w:val="17232A"/>
                <w:sz w:val="17"/>
              </w:rPr>
              <w:t>Dividing household property is not only about listing belongings; every item affects the financial balance and the final agreement.</w:t>
            </w:r>
          </w:p>
        </w:tc>
      </w:tr>
      <w:tr>
        <w:tc>
          <w:tcPr>
            <w:tcW w:type="dxa" w:w="1296"/>
            <w:shd w:fill="EEF4F6"/>
            <w:vAlign w:val="center"/>
            <w:tcMar>
              <w:top w:w="80" w:type="dxa"/>
              <w:start w:w="120" w:type="dxa"/>
              <w:bottom w:w="80" w:type="dxa"/>
              <w:end w:w="120" w:type="dxa"/>
            </w:tcMar>
          </w:tcPr>
          <w:p>
            <w:r>
              <w:rPr>
                <w:rFonts w:ascii="Aptos" w:hAnsi="Aptos"/>
                <w:b/>
                <w:i w:val="0"/>
                <w:color w:val="08212B"/>
                <w:sz w:val="17"/>
              </w:rPr>
              <w:t>0:12-0:25</w:t>
            </w:r>
          </w:p>
        </w:tc>
        <w:tc>
          <w:tcPr>
            <w:tcW w:type="dxa" w:w="2376"/>
            <w:shd w:fill="EEF4F6"/>
            <w:vAlign w:val="center"/>
            <w:tcMar>
              <w:top w:w="80" w:type="dxa"/>
              <w:start w:w="120" w:type="dxa"/>
              <w:bottom w:w="80" w:type="dxa"/>
              <w:end w:w="120" w:type="dxa"/>
            </w:tcMar>
          </w:tcPr>
          <w:p>
            <w:r>
              <w:rPr>
                <w:rFonts w:ascii="Aptos" w:hAnsi="Aptos"/>
                <w:b/>
                <w:i w:val="0"/>
                <w:color w:val="08212B"/>
                <w:sz w:val="17"/>
              </w:rPr>
              <w:t>Create the matter</w:t>
            </w:r>
          </w:p>
        </w:tc>
        <w:tc>
          <w:tcPr>
            <w:tcW w:type="dxa" w:w="5688"/>
            <w:shd w:fill="EEF4F6"/>
            <w:vAlign w:val="center"/>
            <w:tcMar>
              <w:top w:w="80" w:type="dxa"/>
              <w:start w:w="120" w:type="dxa"/>
              <w:bottom w:w="80" w:type="dxa"/>
              <w:end w:w="120" w:type="dxa"/>
            </w:tcMar>
          </w:tcPr>
          <w:p>
            <w:r>
              <w:rPr>
                <w:rFonts w:ascii="Aptos" w:hAnsi="Aptos"/>
                <w:b w:val="0"/>
                <w:i w:val="0"/>
                <w:color w:val="17232A"/>
                <w:sz w:val="17"/>
              </w:rPr>
              <w:t>Enter the spouses, marriage and separation dates, case number, and court.</w:t>
            </w:r>
          </w:p>
        </w:tc>
      </w:tr>
      <w:tr>
        <w:tc>
          <w:tcPr>
            <w:tcW w:type="dxa" w:w="1296"/>
            <w:vAlign w:val="center"/>
            <w:tcMar>
              <w:top w:w="80" w:type="dxa"/>
              <w:start w:w="120" w:type="dxa"/>
              <w:bottom w:w="80" w:type="dxa"/>
              <w:end w:w="120" w:type="dxa"/>
            </w:tcMar>
          </w:tcPr>
          <w:p>
            <w:r>
              <w:rPr>
                <w:rFonts w:ascii="Aptos" w:hAnsi="Aptos"/>
                <w:b/>
                <w:i w:val="0"/>
                <w:color w:val="08212B"/>
                <w:sz w:val="17"/>
              </w:rPr>
              <w:t>0:25-0:42</w:t>
            </w:r>
          </w:p>
        </w:tc>
        <w:tc>
          <w:tcPr>
            <w:tcW w:type="dxa" w:w="2376"/>
            <w:vAlign w:val="center"/>
            <w:tcMar>
              <w:top w:w="80" w:type="dxa"/>
              <w:start w:w="120" w:type="dxa"/>
              <w:bottom w:w="80" w:type="dxa"/>
              <w:end w:w="120" w:type="dxa"/>
            </w:tcMar>
          </w:tcPr>
          <w:p>
            <w:r>
              <w:rPr>
                <w:rFonts w:ascii="Aptos" w:hAnsi="Aptos"/>
                <w:b/>
                <w:i w:val="0"/>
                <w:color w:val="08212B"/>
                <w:sz w:val="17"/>
              </w:rPr>
              <w:t>Invite participants</w:t>
            </w:r>
          </w:p>
        </w:tc>
        <w:tc>
          <w:tcPr>
            <w:tcW w:type="dxa" w:w="5688"/>
            <w:vAlign w:val="center"/>
            <w:tcMar>
              <w:top w:w="80" w:type="dxa"/>
              <w:start w:w="120" w:type="dxa"/>
              <w:bottom w:w="80" w:type="dxa"/>
              <w:end w:w="120" w:type="dxa"/>
            </w:tcMar>
          </w:tcPr>
          <w:p>
            <w:r>
              <w:rPr>
                <w:rFonts w:ascii="Aptos" w:hAnsi="Aptos"/>
                <w:b w:val="0"/>
                <w:i w:val="0"/>
                <w:color w:val="17232A"/>
                <w:sz w:val="17"/>
              </w:rPr>
              <w:t>Use assigned links or QR codes so each spouse or professional can catalog from a phone or computer.</w:t>
            </w:r>
          </w:p>
        </w:tc>
      </w:tr>
      <w:tr>
        <w:tc>
          <w:tcPr>
            <w:tcW w:type="dxa" w:w="1296"/>
            <w:shd w:fill="EEF4F6"/>
            <w:vAlign w:val="center"/>
            <w:tcMar>
              <w:top w:w="80" w:type="dxa"/>
              <w:start w:w="120" w:type="dxa"/>
              <w:bottom w:w="80" w:type="dxa"/>
              <w:end w:w="120" w:type="dxa"/>
            </w:tcMar>
          </w:tcPr>
          <w:p>
            <w:r>
              <w:rPr>
                <w:rFonts w:ascii="Aptos" w:hAnsi="Aptos"/>
                <w:b/>
                <w:i w:val="0"/>
                <w:color w:val="08212B"/>
                <w:sz w:val="17"/>
              </w:rPr>
              <w:t>0:42-1:02</w:t>
            </w:r>
          </w:p>
        </w:tc>
        <w:tc>
          <w:tcPr>
            <w:tcW w:type="dxa" w:w="2376"/>
            <w:shd w:fill="EEF4F6"/>
            <w:vAlign w:val="center"/>
            <w:tcMar>
              <w:top w:w="80" w:type="dxa"/>
              <w:start w:w="120" w:type="dxa"/>
              <w:bottom w:w="80" w:type="dxa"/>
              <w:end w:w="120" w:type="dxa"/>
            </w:tcMar>
          </w:tcPr>
          <w:p>
            <w:r>
              <w:rPr>
                <w:rFonts w:ascii="Aptos" w:hAnsi="Aptos"/>
                <w:b/>
                <w:i w:val="0"/>
                <w:color w:val="08212B"/>
                <w:sz w:val="17"/>
              </w:rPr>
              <w:t>Add complete property records</w:t>
            </w:r>
          </w:p>
        </w:tc>
        <w:tc>
          <w:tcPr>
            <w:tcW w:type="dxa" w:w="5688"/>
            <w:shd w:fill="EEF4F6"/>
            <w:vAlign w:val="center"/>
            <w:tcMar>
              <w:top w:w="80" w:type="dxa"/>
              <w:start w:w="120" w:type="dxa"/>
              <w:bottom w:w="80" w:type="dxa"/>
              <w:end w:w="120" w:type="dxa"/>
            </w:tcMar>
          </w:tcPr>
          <w:p>
            <w:r>
              <w:rPr>
                <w:rFonts w:ascii="Aptos" w:hAnsi="Aptos"/>
                <w:b w:val="0"/>
                <w:i w:val="0"/>
                <w:color w:val="17232A"/>
                <w:sz w:val="17"/>
              </w:rPr>
              <w:t>Capture description, category, purchaser, date, original price, FMV, funding, disposition, notes, and photographs.</w:t>
            </w:r>
          </w:p>
        </w:tc>
      </w:tr>
      <w:tr>
        <w:tc>
          <w:tcPr>
            <w:tcW w:type="dxa" w:w="1296"/>
            <w:vAlign w:val="center"/>
            <w:tcMar>
              <w:top w:w="80" w:type="dxa"/>
              <w:start w:w="120" w:type="dxa"/>
              <w:bottom w:w="80" w:type="dxa"/>
              <w:end w:w="120" w:type="dxa"/>
            </w:tcMar>
          </w:tcPr>
          <w:p>
            <w:r>
              <w:rPr>
                <w:rFonts w:ascii="Aptos" w:hAnsi="Aptos"/>
                <w:b/>
                <w:i w:val="0"/>
                <w:color w:val="08212B"/>
                <w:sz w:val="17"/>
              </w:rPr>
              <w:t>1:02-1:18</w:t>
            </w:r>
          </w:p>
        </w:tc>
        <w:tc>
          <w:tcPr>
            <w:tcW w:type="dxa" w:w="2376"/>
            <w:vAlign w:val="center"/>
            <w:tcMar>
              <w:top w:w="80" w:type="dxa"/>
              <w:start w:w="120" w:type="dxa"/>
              <w:bottom w:w="80" w:type="dxa"/>
              <w:end w:w="120" w:type="dxa"/>
            </w:tcMar>
          </w:tcPr>
          <w:p>
            <w:r>
              <w:rPr>
                <w:rFonts w:ascii="Aptos" w:hAnsi="Aptos"/>
                <w:b/>
                <w:i w:val="0"/>
                <w:color w:val="08212B"/>
                <w:sz w:val="17"/>
              </w:rPr>
              <w:t>See the live balance</w:t>
            </w:r>
          </w:p>
        </w:tc>
        <w:tc>
          <w:tcPr>
            <w:tcW w:type="dxa" w:w="5688"/>
            <w:vAlign w:val="center"/>
            <w:tcMar>
              <w:top w:w="80" w:type="dxa"/>
              <w:start w:w="120" w:type="dxa"/>
              <w:bottom w:w="80" w:type="dxa"/>
              <w:end w:w="120" w:type="dxa"/>
            </w:tcMar>
          </w:tcPr>
          <w:p>
            <w:r>
              <w:rPr>
                <w:rFonts w:ascii="Aptos" w:hAnsi="Aptos"/>
                <w:b w:val="0"/>
                <w:i w:val="0"/>
                <w:color w:val="17232A"/>
                <w:sz w:val="17"/>
              </w:rPr>
              <w:t>Watch values, gifts, separate funds, allocations, and the equalization payment update.</w:t>
            </w:r>
          </w:p>
        </w:tc>
      </w:tr>
      <w:tr>
        <w:tc>
          <w:tcPr>
            <w:tcW w:type="dxa" w:w="1296"/>
            <w:shd w:fill="EEF4F6"/>
            <w:vAlign w:val="center"/>
            <w:tcMar>
              <w:top w:w="80" w:type="dxa"/>
              <w:start w:w="120" w:type="dxa"/>
              <w:bottom w:w="80" w:type="dxa"/>
              <w:end w:w="120" w:type="dxa"/>
            </w:tcMar>
          </w:tcPr>
          <w:p>
            <w:r>
              <w:rPr>
                <w:rFonts w:ascii="Aptos" w:hAnsi="Aptos"/>
                <w:b/>
                <w:i w:val="0"/>
                <w:color w:val="08212B"/>
                <w:sz w:val="17"/>
              </w:rPr>
              <w:t>1:18-1:34</w:t>
            </w:r>
          </w:p>
        </w:tc>
        <w:tc>
          <w:tcPr>
            <w:tcW w:type="dxa" w:w="2376"/>
            <w:shd w:fill="EEF4F6"/>
            <w:vAlign w:val="center"/>
            <w:tcMar>
              <w:top w:w="80" w:type="dxa"/>
              <w:start w:w="120" w:type="dxa"/>
              <w:bottom w:w="80" w:type="dxa"/>
              <w:end w:w="120" w:type="dxa"/>
            </w:tcMar>
          </w:tcPr>
          <w:p>
            <w:r>
              <w:rPr>
                <w:rFonts w:ascii="Aptos" w:hAnsi="Aptos"/>
                <w:b/>
                <w:i w:val="0"/>
                <w:color w:val="08212B"/>
                <w:sz w:val="17"/>
              </w:rPr>
              <w:t>Test settlement options</w:t>
            </w:r>
          </w:p>
        </w:tc>
        <w:tc>
          <w:tcPr>
            <w:tcW w:type="dxa" w:w="5688"/>
            <w:shd w:fill="EEF4F6"/>
            <w:vAlign w:val="center"/>
            <w:tcMar>
              <w:top w:w="80" w:type="dxa"/>
              <w:start w:w="120" w:type="dxa"/>
              <w:bottom w:w="80" w:type="dxa"/>
              <w:end w:w="120" w:type="dxa"/>
            </w:tcMar>
          </w:tcPr>
          <w:p>
            <w:r>
              <w:t>Trade items or sell them 50/50 in the What-If Settlement Scenarios without changing the master record.</w:t>
            </w:r>
          </w:p>
        </w:tc>
      </w:tr>
      <w:tr>
        <w:tc>
          <w:tcPr>
            <w:tcW w:type="dxa" w:w="1296"/>
            <w:vAlign w:val="center"/>
            <w:tcMar>
              <w:top w:w="80" w:type="dxa"/>
              <w:start w:w="120" w:type="dxa"/>
              <w:bottom w:w="80" w:type="dxa"/>
              <w:end w:w="120" w:type="dxa"/>
            </w:tcMar>
          </w:tcPr>
          <w:p>
            <w:r>
              <w:rPr>
                <w:rFonts w:ascii="Aptos" w:hAnsi="Aptos"/>
                <w:b/>
                <w:i w:val="0"/>
                <w:color w:val="08212B"/>
                <w:sz w:val="17"/>
              </w:rPr>
              <w:t>1:34-1:50</w:t>
            </w:r>
          </w:p>
        </w:tc>
        <w:tc>
          <w:tcPr>
            <w:tcW w:type="dxa" w:w="2376"/>
            <w:vAlign w:val="center"/>
            <w:tcMar>
              <w:top w:w="80" w:type="dxa"/>
              <w:start w:w="120" w:type="dxa"/>
              <w:bottom w:w="80" w:type="dxa"/>
              <w:end w:w="120" w:type="dxa"/>
            </w:tcMar>
          </w:tcPr>
          <w:p>
            <w:r>
              <w:rPr>
                <w:rFonts w:ascii="Aptos" w:hAnsi="Aptos"/>
                <w:b/>
                <w:i w:val="0"/>
                <w:color w:val="08212B"/>
                <w:sz w:val="17"/>
              </w:rPr>
              <w:t>Generate professional outputs</w:t>
            </w:r>
          </w:p>
        </w:tc>
        <w:tc>
          <w:tcPr>
            <w:tcW w:type="dxa" w:w="5688"/>
            <w:vAlign w:val="center"/>
            <w:tcMar>
              <w:top w:w="80" w:type="dxa"/>
              <w:start w:w="120" w:type="dxa"/>
              <w:bottom w:w="80" w:type="dxa"/>
              <w:end w:w="120" w:type="dxa"/>
            </w:tcMar>
          </w:tcPr>
          <w:p>
            <w:r>
              <w:t>Open the property schedule, photo exhibit, spreadsheet, document report, or encrypted backup.</w:t>
            </w:r>
          </w:p>
        </w:tc>
      </w:tr>
      <w:tr>
        <w:tc>
          <w:tcPr>
            <w:tcW w:type="dxa" w:w="1296"/>
            <w:shd w:fill="EEF4F6"/>
            <w:vAlign w:val="center"/>
            <w:tcMar>
              <w:top w:w="80" w:type="dxa"/>
              <w:start w:w="120" w:type="dxa"/>
              <w:bottom w:w="80" w:type="dxa"/>
              <w:end w:w="120" w:type="dxa"/>
            </w:tcMar>
          </w:tcPr>
          <w:p>
            <w:r>
              <w:rPr>
                <w:rFonts w:ascii="Aptos" w:hAnsi="Aptos"/>
                <w:b/>
                <w:i w:val="0"/>
                <w:color w:val="08212B"/>
                <w:sz w:val="17"/>
              </w:rPr>
              <w:t>1:50-2:00</w:t>
            </w:r>
          </w:p>
        </w:tc>
        <w:tc>
          <w:tcPr>
            <w:tcW w:type="dxa" w:w="2376"/>
            <w:shd w:fill="EEF4F6"/>
            <w:vAlign w:val="center"/>
            <w:tcMar>
              <w:top w:w="80" w:type="dxa"/>
              <w:start w:w="120" w:type="dxa"/>
              <w:bottom w:w="80" w:type="dxa"/>
              <w:end w:w="120" w:type="dxa"/>
            </w:tcMar>
          </w:tcPr>
          <w:p>
            <w:r>
              <w:rPr>
                <w:rFonts w:ascii="Aptos" w:hAnsi="Aptos"/>
                <w:b/>
                <w:i w:val="0"/>
                <w:color w:val="08212B"/>
                <w:sz w:val="17"/>
              </w:rPr>
              <w:t>Close with the outcome</w:t>
            </w:r>
          </w:p>
        </w:tc>
        <w:tc>
          <w:tcPr>
            <w:tcW w:type="dxa" w:w="5688"/>
            <w:shd w:fill="EEF4F6"/>
            <w:vAlign w:val="center"/>
            <w:tcMar>
              <w:top w:w="80" w:type="dxa"/>
              <w:start w:w="120" w:type="dxa"/>
              <w:bottom w:w="80" w:type="dxa"/>
              <w:end w:w="120" w:type="dxa"/>
            </w:tcMar>
          </w:tcPr>
          <w:p>
            <w:r>
              <w:rPr>
                <w:rFonts w:ascii="Aptos" w:hAnsi="Aptos"/>
                <w:b w:val="0"/>
                <w:i w:val="0"/>
                <w:color w:val="17232A"/>
                <w:sz w:val="17"/>
              </w:rPr>
              <w:t>One organized matter. One visible balance. A clearer path to agreement.</w:t>
            </w:r>
          </w:p>
        </w:tc>
      </w:tr>
    </w:tbl>
    <w:p>
      <w:pPr>
        <w:sectPr>
          <w:headerReference w:type="default" r:id="rId9"/>
          <w:footerReference w:type="default" r:id="rId10"/>
          <w:pgSz w:w="12240" w:h="15840"/>
          <w:pgMar w:top="1152" w:right="1440" w:bottom="1080" w:left="1440" w:header="708" w:footer="708" w:gutter="0"/>
          <w:cols w:space="720"/>
          <w:docGrid w:linePitch="360"/>
        </w:sectPr>
      </w:pPr>
    </w:p>
    <w:p>
      <w:pPr>
        <w:pStyle w:val="Heading1"/>
        <w:keepNext/>
      </w:pPr>
      <w:r>
        <w:rPr>
          <w:rFonts w:ascii="Aptos" w:hAnsi="Aptos"/>
          <w:b/>
          <w:i w:val="0"/>
          <w:color w:val="27C7D9"/>
          <w:sz w:val="32"/>
        </w:rPr>
        <w:t>Appendix A - Fictional 19-item property inventory</w:t>
      </w:r>
    </w:p>
    <w:p>
      <w:pPr>
        <w:keepNext w:val="0"/>
        <w:spacing w:before="0" w:after="120" w:line="264" w:lineRule="auto"/>
      </w:pPr>
      <w:r>
        <w:rPr>
          <w:rFonts w:ascii="Aptos" w:hAnsi="Aptos"/>
          <w:b w:val="0"/>
          <w:i w:val="0"/>
          <w:color w:val="17232A"/>
          <w:sz w:val="22"/>
        </w:rPr>
        <w:t>All names, values, purchase histories, and property descriptions are fictional and were created solely to demonstrate PE Proper.</w:t>
      </w:r>
    </w:p>
    <w:tbl>
      <w:tblPr>
        <w:tblW w:type="dxa" w:w="14400"/>
        <w:jc w:val="center"/>
        <w:tblLayout w:type="fixed"/>
        <w:tblLook w:firstColumn="1" w:firstRow="1" w:lastColumn="0" w:lastRow="0" w:noHBand="0" w:noVBand="1" w:val="04A0"/>
      </w:tblPr>
      <w:tblGrid>
        <w:gridCol w:w="648"/>
        <w:gridCol w:w="3672"/>
        <w:gridCol w:w="1224"/>
        <w:gridCol w:w="1123"/>
        <w:gridCol w:w="1181"/>
        <w:gridCol w:w="1037"/>
        <w:gridCol w:w="1368"/>
        <w:gridCol w:w="4147"/>
      </w:tblGrid>
      <w:tr>
        <w:trPr>
          <w:tblHeader w:val="true"/>
        </w:trPr>
        <w:tc>
          <w:tcPr>
            <w:tcW w:type="dxa" w:w="648"/>
            <w:tcMar>
              <w:top w:w="80" w:type="dxa"/>
              <w:start w:w="120" w:type="dxa"/>
              <w:bottom w:w="80" w:type="dxa"/>
              <w:end w:w="120" w:type="dxa"/>
            </w:tcMar>
            <w:shd w:fill="08212B"/>
          </w:tcPr>
          <w:p>
            <w:pPr>
              <w:jc w:val="center"/>
            </w:pPr>
            <w:r>
              <w:rPr>
                <w:rFonts w:ascii="Aptos" w:hAnsi="Aptos"/>
                <w:b/>
                <w:i w:val="0"/>
                <w:color w:val="FFFFFF"/>
                <w:sz w:val="16"/>
              </w:rPr>
              <w:t>#</w:t>
            </w:r>
          </w:p>
        </w:tc>
        <w:tc>
          <w:tcPr>
            <w:tcW w:type="dxa" w:w="3672"/>
            <w:tcMar>
              <w:top w:w="80" w:type="dxa"/>
              <w:start w:w="120" w:type="dxa"/>
              <w:bottom w:w="80" w:type="dxa"/>
              <w:end w:w="120" w:type="dxa"/>
            </w:tcMar>
            <w:shd w:fill="08212B"/>
          </w:tcPr>
          <w:p>
            <w:pPr>
              <w:jc w:val="center"/>
            </w:pPr>
            <w:r>
              <w:rPr>
                <w:rFonts w:ascii="Aptos" w:hAnsi="Aptos"/>
                <w:b/>
                <w:i w:val="0"/>
                <w:color w:val="FFFFFF"/>
                <w:sz w:val="16"/>
              </w:rPr>
              <w:t>Asset</w:t>
            </w:r>
          </w:p>
        </w:tc>
        <w:tc>
          <w:tcPr>
            <w:tcW w:type="dxa" w:w="1224"/>
            <w:tcMar>
              <w:top w:w="80" w:type="dxa"/>
              <w:start w:w="120" w:type="dxa"/>
              <w:bottom w:w="80" w:type="dxa"/>
              <w:end w:w="120" w:type="dxa"/>
            </w:tcMar>
            <w:shd w:fill="08212B"/>
          </w:tcPr>
          <w:p>
            <w:pPr>
              <w:jc w:val="center"/>
            </w:pPr>
            <w:r>
              <w:rPr>
                <w:rFonts w:ascii="Aptos" w:hAnsi="Aptos"/>
                <w:b/>
                <w:i w:val="0"/>
                <w:color w:val="FFFFFF"/>
                <w:sz w:val="16"/>
              </w:rPr>
              <w:t>Date</w:t>
            </w:r>
          </w:p>
        </w:tc>
        <w:tc>
          <w:tcPr>
            <w:tcW w:type="dxa" w:w="1123"/>
            <w:tcMar>
              <w:top w:w="80" w:type="dxa"/>
              <w:start w:w="120" w:type="dxa"/>
              <w:bottom w:w="80" w:type="dxa"/>
              <w:end w:w="120" w:type="dxa"/>
            </w:tcMar>
            <w:shd w:fill="08212B"/>
          </w:tcPr>
          <w:p>
            <w:pPr>
              <w:jc w:val="center"/>
            </w:pPr>
            <w:r>
              <w:rPr>
                <w:rFonts w:ascii="Aptos" w:hAnsi="Aptos"/>
                <w:b/>
                <w:i w:val="0"/>
                <w:color w:val="FFFFFF"/>
                <w:sz w:val="16"/>
              </w:rPr>
              <w:t>Buyer</w:t>
            </w:r>
          </w:p>
        </w:tc>
        <w:tc>
          <w:tcPr>
            <w:tcW w:type="dxa" w:w="1181"/>
            <w:tcMar>
              <w:top w:w="80" w:type="dxa"/>
              <w:start w:w="120" w:type="dxa"/>
              <w:bottom w:w="80" w:type="dxa"/>
              <w:end w:w="120" w:type="dxa"/>
            </w:tcMar>
            <w:shd w:fill="08212B"/>
          </w:tcPr>
          <w:p>
            <w:pPr>
              <w:jc w:val="center"/>
            </w:pPr>
            <w:r>
              <w:rPr>
                <w:rFonts w:ascii="Aptos" w:hAnsi="Aptos"/>
                <w:b/>
                <w:i w:val="0"/>
                <w:color w:val="FFFFFF"/>
                <w:sz w:val="16"/>
              </w:rPr>
              <w:t>Original</w:t>
            </w:r>
          </w:p>
        </w:tc>
        <w:tc>
          <w:tcPr>
            <w:tcW w:type="dxa" w:w="1037"/>
            <w:tcMar>
              <w:top w:w="80" w:type="dxa"/>
              <w:start w:w="120" w:type="dxa"/>
              <w:bottom w:w="80" w:type="dxa"/>
              <w:end w:w="120" w:type="dxa"/>
            </w:tcMar>
            <w:shd w:fill="08212B"/>
          </w:tcPr>
          <w:p>
            <w:pPr>
              <w:jc w:val="center"/>
            </w:pPr>
            <w:r>
              <w:rPr>
                <w:rFonts w:ascii="Aptos" w:hAnsi="Aptos"/>
                <w:b/>
                <w:i w:val="0"/>
                <w:color w:val="FFFFFF"/>
                <w:sz w:val="16"/>
              </w:rPr>
              <w:t>FMV</w:t>
            </w:r>
          </w:p>
        </w:tc>
        <w:tc>
          <w:tcPr>
            <w:tcW w:type="dxa" w:w="1368"/>
            <w:tcMar>
              <w:top w:w="80" w:type="dxa"/>
              <w:start w:w="120" w:type="dxa"/>
              <w:bottom w:w="80" w:type="dxa"/>
              <w:end w:w="120" w:type="dxa"/>
            </w:tcMar>
            <w:shd w:fill="08212B"/>
          </w:tcPr>
          <w:p>
            <w:pPr>
              <w:jc w:val="center"/>
            </w:pPr>
            <w:r>
              <w:rPr>
                <w:rFonts w:ascii="Aptos" w:hAnsi="Aptos"/>
                <w:b/>
                <w:i w:val="0"/>
                <w:color w:val="FFFFFF"/>
                <w:sz w:val="16"/>
              </w:rPr>
              <w:t>Result</w:t>
            </w:r>
          </w:p>
        </w:tc>
        <w:tc>
          <w:tcPr>
            <w:tcW w:type="dxa" w:w="4147"/>
            <w:tcMar>
              <w:top w:w="80" w:type="dxa"/>
              <w:start w:w="120" w:type="dxa"/>
              <w:bottom w:w="80" w:type="dxa"/>
              <w:end w:w="120" w:type="dxa"/>
            </w:tcMar>
            <w:shd w:fill="08212B"/>
          </w:tcPr>
          <w:p>
            <w:pPr>
              <w:jc w:val="center"/>
            </w:pPr>
            <w:r>
              <w:rPr>
                <w:rFonts w:ascii="Aptos" w:hAnsi="Aptos"/>
                <w:b/>
                <w:i w:val="0"/>
                <w:color w:val="FFFFFF"/>
                <w:sz w:val="16"/>
              </w:rPr>
              <w:t>Funding / condition</w:t>
            </w:r>
          </w:p>
        </w:tc>
      </w:tr>
      <w:tr>
        <w:tc>
          <w:tcPr>
            <w:tcW w:type="dxa" w:w="648"/>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#001</w:t>
            </w:r>
          </w:p>
        </w:tc>
        <w:tc>
          <w:tcPr>
            <w:tcW w:type="dxa" w:w="3672"/>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Harbor &amp; Pine Vintage Walnut Writing Desk</w:t>
            </w:r>
          </w:p>
        </w:tc>
        <w:tc>
          <w:tcPr>
            <w:tcW w:type="dxa" w:w="1224"/>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2017-04-22</w:t>
            </w:r>
          </w:p>
        </w:tc>
        <w:tc>
          <w:tcPr>
            <w:tcW w:type="dxa" w:w="1123"/>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1181"/>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$1,200</w:t>
            </w:r>
          </w:p>
        </w:tc>
        <w:tc>
          <w:tcPr>
            <w:tcW w:type="dxa" w:w="1037"/>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$850</w:t>
            </w:r>
          </w:p>
        </w:tc>
        <w:tc>
          <w:tcPr>
            <w:tcW w:type="dxa" w:w="1368"/>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4147"/>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100.0% | Community 0.0%</w:t>
              <w:br/>
              <w:t>Elena's pre-marriage desk; very good condition with minor edge wear</w:t>
            </w:r>
          </w:p>
        </w:tc>
      </w:tr>
      <w:tr>
        <w:tc>
          <w:tcPr>
            <w:tcW w:type="dxa" w:w="648"/>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#002</w:t>
            </w:r>
          </w:p>
        </w:tc>
        <w:tc>
          <w:tcPr>
            <w:tcW w:type="dxa" w:w="3672"/>
            <w:shd w:fill="EEF4F6"/>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Trek Domane SL 5 Road Bicycle</w:t>
            </w:r>
          </w:p>
        </w:tc>
        <w:tc>
          <w:tcPr>
            <w:tcW w:type="dxa" w:w="1224"/>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2016-08-14</w:t>
            </w:r>
          </w:p>
        </w:tc>
        <w:tc>
          <w:tcPr>
            <w:tcW w:type="dxa" w:w="1123"/>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1181"/>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$1,800</w:t>
            </w:r>
          </w:p>
        </w:tc>
        <w:tc>
          <w:tcPr>
            <w:tcW w:type="dxa" w:w="1037"/>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$700</w:t>
            </w:r>
          </w:p>
        </w:tc>
        <w:tc>
          <w:tcPr>
            <w:tcW w:type="dxa" w:w="1368"/>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4147"/>
            <w:shd w:fill="EEF4F6"/>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100.0% | B 0.0% | Community 0.0%</w:t>
              <w:br/>
              <w:t>Julian's pre-marriage bicycle; serviced in 2024</w:t>
            </w:r>
          </w:p>
        </w:tc>
      </w:tr>
      <w:tr>
        <w:tc>
          <w:tcPr>
            <w:tcW w:type="dxa" w:w="648"/>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#003</w:t>
            </w:r>
          </w:p>
        </w:tc>
        <w:tc>
          <w:tcPr>
            <w:tcW w:type="dxa" w:w="3672"/>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KitchenAid Artisan Stand Mixer with Attachments</w:t>
            </w:r>
          </w:p>
        </w:tc>
        <w:tc>
          <w:tcPr>
            <w:tcW w:type="dxa" w:w="1224"/>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2018-10-20</w:t>
            </w:r>
          </w:p>
        </w:tc>
        <w:tc>
          <w:tcPr>
            <w:tcW w:type="dxa" w:w="1123"/>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Gift</w:t>
            </w:r>
          </w:p>
        </w:tc>
        <w:tc>
          <w:tcPr>
            <w:tcW w:type="dxa" w:w="1181"/>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$0</w:t>
            </w:r>
          </w:p>
        </w:tc>
        <w:tc>
          <w:tcPr>
            <w:tcW w:type="dxa" w:w="1037"/>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$280</w:t>
            </w:r>
          </w:p>
        </w:tc>
        <w:tc>
          <w:tcPr>
            <w:tcW w:type="dxa" w:w="1368"/>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4147"/>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Wedding gift from Elena's aunt; cobalt blue</w:t>
            </w:r>
          </w:p>
        </w:tc>
      </w:tr>
      <w:tr>
        <w:tc>
          <w:tcPr>
            <w:tcW w:type="dxa" w:w="648"/>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#004</w:t>
            </w:r>
          </w:p>
        </w:tc>
        <w:tc>
          <w:tcPr>
            <w:tcW w:type="dxa" w:w="3672"/>
            <w:shd w:fill="EEF4F6"/>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LG 65-inch OLED Television and Soundbar</w:t>
            </w:r>
          </w:p>
        </w:tc>
        <w:tc>
          <w:tcPr>
            <w:tcW w:type="dxa" w:w="1224"/>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2019-02-10</w:t>
            </w:r>
          </w:p>
        </w:tc>
        <w:tc>
          <w:tcPr>
            <w:tcW w:type="dxa" w:w="1123"/>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Both</w:t>
            </w:r>
          </w:p>
        </w:tc>
        <w:tc>
          <w:tcPr>
            <w:tcW w:type="dxa" w:w="1181"/>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$2,600</w:t>
            </w:r>
          </w:p>
        </w:tc>
        <w:tc>
          <w:tcPr>
            <w:tcW w:type="dxa" w:w="1037"/>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$650</w:t>
            </w:r>
          </w:p>
        </w:tc>
        <w:tc>
          <w:tcPr>
            <w:tcW w:type="dxa" w:w="1368"/>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4147"/>
            <w:shd w:fill="EEF4F6"/>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Living-room television; excellent picture; includes wall mount</w:t>
            </w:r>
          </w:p>
        </w:tc>
      </w:tr>
      <w:tr>
        <w:tc>
          <w:tcPr>
            <w:tcW w:type="dxa" w:w="648"/>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#005</w:t>
            </w:r>
          </w:p>
        </w:tc>
        <w:tc>
          <w:tcPr>
            <w:tcW w:type="dxa" w:w="3672"/>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West Elm Harmony Three-Piece Sectional Sofa</w:t>
            </w:r>
          </w:p>
        </w:tc>
        <w:tc>
          <w:tcPr>
            <w:tcW w:type="dxa" w:w="1224"/>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2019-05-18</w:t>
            </w:r>
          </w:p>
        </w:tc>
        <w:tc>
          <w:tcPr>
            <w:tcW w:type="dxa" w:w="1123"/>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1181"/>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$3,400</w:t>
            </w:r>
          </w:p>
        </w:tc>
        <w:tc>
          <w:tcPr>
            <w:tcW w:type="dxa" w:w="1037"/>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$1,250</w:t>
            </w:r>
          </w:p>
        </w:tc>
        <w:tc>
          <w:tcPr>
            <w:tcW w:type="dxa" w:w="1368"/>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4147"/>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Performance velvet; light wear on chaise</w:t>
            </w:r>
          </w:p>
        </w:tc>
      </w:tr>
      <w:tr>
        <w:tc>
          <w:tcPr>
            <w:tcW w:type="dxa" w:w="648"/>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#006</w:t>
            </w:r>
          </w:p>
        </w:tc>
        <w:tc>
          <w:tcPr>
            <w:tcW w:type="dxa" w:w="3672"/>
            <w:shd w:fill="EEF4F6"/>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Breville Barista Touch Espresso Machine</w:t>
            </w:r>
          </w:p>
        </w:tc>
        <w:tc>
          <w:tcPr>
            <w:tcW w:type="dxa" w:w="1224"/>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2019-11-23</w:t>
            </w:r>
          </w:p>
        </w:tc>
        <w:tc>
          <w:tcPr>
            <w:tcW w:type="dxa" w:w="1123"/>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1181"/>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$1,100</w:t>
            </w:r>
          </w:p>
        </w:tc>
        <w:tc>
          <w:tcPr>
            <w:tcW w:type="dxa" w:w="1037"/>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$480</w:t>
            </w:r>
          </w:p>
        </w:tc>
        <w:tc>
          <w:tcPr>
            <w:tcW w:type="dxa" w:w="1368"/>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4147"/>
            <w:shd w:fill="EEF4F6"/>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Includes grinder accessories and stainless milk pitcher</w:t>
            </w:r>
          </w:p>
        </w:tc>
      </w:tr>
      <w:tr>
        <w:tc>
          <w:tcPr>
            <w:tcW w:type="dxa" w:w="648"/>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#007</w:t>
            </w:r>
          </w:p>
        </w:tc>
        <w:tc>
          <w:tcPr>
            <w:tcW w:type="dxa" w:w="3672"/>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Canon EOS R Mirrorless Camera Travel Kit</w:t>
            </w:r>
          </w:p>
        </w:tc>
        <w:tc>
          <w:tcPr>
            <w:tcW w:type="dxa" w:w="1224"/>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2020-03-12</w:t>
            </w:r>
          </w:p>
        </w:tc>
        <w:tc>
          <w:tcPr>
            <w:tcW w:type="dxa" w:w="1123"/>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1181"/>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$3,200</w:t>
            </w:r>
          </w:p>
        </w:tc>
        <w:tc>
          <w:tcPr>
            <w:tcW w:type="dxa" w:w="1037"/>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$1,650</w:t>
            </w:r>
          </w:p>
        </w:tc>
        <w:tc>
          <w:tcPr>
            <w:tcW w:type="dxa" w:w="1368"/>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4147"/>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Camera body, 24-105mm lens, flash, bag, and two batteries</w:t>
            </w:r>
          </w:p>
        </w:tc>
      </w:tr>
      <w:tr>
        <w:tc>
          <w:tcPr>
            <w:tcW w:type="dxa" w:w="648"/>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#008</w:t>
            </w:r>
          </w:p>
        </w:tc>
        <w:tc>
          <w:tcPr>
            <w:tcW w:type="dxa" w:w="3672"/>
            <w:shd w:fill="EEF4F6"/>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Peloton Bike Plus with Floor Mat and Weights</w:t>
            </w:r>
          </w:p>
        </w:tc>
        <w:tc>
          <w:tcPr>
            <w:tcW w:type="dxa" w:w="1224"/>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2020-12-04</w:t>
            </w:r>
          </w:p>
        </w:tc>
        <w:tc>
          <w:tcPr>
            <w:tcW w:type="dxa" w:w="1123"/>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1181"/>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$2,495</w:t>
            </w:r>
          </w:p>
        </w:tc>
        <w:tc>
          <w:tcPr>
            <w:tcW w:type="dxa" w:w="1037"/>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$900</w:t>
            </w:r>
          </w:p>
        </w:tc>
        <w:tc>
          <w:tcPr>
            <w:tcW w:type="dxa" w:w="1368"/>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4147"/>
            <w:shd w:fill="EEF4F6"/>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Operational; subscription not included</w:t>
            </w:r>
          </w:p>
        </w:tc>
      </w:tr>
      <w:tr>
        <w:tc>
          <w:tcPr>
            <w:tcW w:type="dxa" w:w="648"/>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#009</w:t>
            </w:r>
          </w:p>
        </w:tc>
        <w:tc>
          <w:tcPr>
            <w:tcW w:type="dxa" w:w="3672"/>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Weber Genesis II Gas Grill and Cover</w:t>
            </w:r>
          </w:p>
        </w:tc>
        <w:tc>
          <w:tcPr>
            <w:tcW w:type="dxa" w:w="1224"/>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2021-04-30</w:t>
            </w:r>
          </w:p>
        </w:tc>
        <w:tc>
          <w:tcPr>
            <w:tcW w:type="dxa" w:w="1123"/>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Both</w:t>
            </w:r>
          </w:p>
        </w:tc>
        <w:tc>
          <w:tcPr>
            <w:tcW w:type="dxa" w:w="1181"/>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$1,200</w:t>
            </w:r>
          </w:p>
        </w:tc>
        <w:tc>
          <w:tcPr>
            <w:tcW w:type="dxa" w:w="1037"/>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$500</w:t>
            </w:r>
          </w:p>
        </w:tc>
        <w:tc>
          <w:tcPr>
            <w:tcW w:type="dxa" w:w="1368"/>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4147"/>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Four-burner stainless grill; normal exterior weathering</w:t>
            </w:r>
          </w:p>
        </w:tc>
      </w:tr>
      <w:tr>
        <w:tc>
          <w:tcPr>
            <w:tcW w:type="dxa" w:w="648"/>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#010</w:t>
            </w:r>
          </w:p>
        </w:tc>
        <w:tc>
          <w:tcPr>
            <w:tcW w:type="dxa" w:w="3672"/>
            <w:shd w:fill="EEF4F6"/>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Saffron House Hand-Knotted Wool Area Rug</w:t>
            </w:r>
          </w:p>
        </w:tc>
        <w:tc>
          <w:tcPr>
            <w:tcW w:type="dxa" w:w="1224"/>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2021-08-21</w:t>
            </w:r>
          </w:p>
        </w:tc>
        <w:tc>
          <w:tcPr>
            <w:tcW w:type="dxa" w:w="1123"/>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1181"/>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$2,900</w:t>
            </w:r>
          </w:p>
        </w:tc>
        <w:tc>
          <w:tcPr>
            <w:tcW w:type="dxa" w:w="1037"/>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$1,400</w:t>
            </w:r>
          </w:p>
        </w:tc>
        <w:tc>
          <w:tcPr>
            <w:tcW w:type="dxa" w:w="1368"/>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4147"/>
            <w:shd w:fill="EEF4F6"/>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9-by-12-foot Persian-inspired rug; professionally cleaned</w:t>
            </w:r>
          </w:p>
        </w:tc>
      </w:tr>
      <w:tr>
        <w:tc>
          <w:tcPr>
            <w:tcW w:type="dxa" w:w="648"/>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#011</w:t>
            </w:r>
          </w:p>
        </w:tc>
        <w:tc>
          <w:tcPr>
            <w:tcW w:type="dxa" w:w="3672"/>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Apple MacBook Pro 16-inch with Dock</w:t>
            </w:r>
          </w:p>
        </w:tc>
        <w:tc>
          <w:tcPr>
            <w:tcW w:type="dxa" w:w="1224"/>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2022-01-14</w:t>
            </w:r>
          </w:p>
        </w:tc>
        <w:tc>
          <w:tcPr>
            <w:tcW w:type="dxa" w:w="1123"/>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1181"/>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$2,800</w:t>
            </w:r>
          </w:p>
        </w:tc>
        <w:tc>
          <w:tcPr>
            <w:tcW w:type="dxa" w:w="1037"/>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$1,200</w:t>
            </w:r>
          </w:p>
        </w:tc>
        <w:tc>
          <w:tcPr>
            <w:tcW w:type="dxa" w:w="1368"/>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4147"/>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M1 Pro model; includes charger, dock, and sleeve</w:t>
            </w:r>
          </w:p>
        </w:tc>
      </w:tr>
      <w:tr>
        <w:tc>
          <w:tcPr>
            <w:tcW w:type="dxa" w:w="648"/>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#012</w:t>
            </w:r>
          </w:p>
        </w:tc>
        <w:tc>
          <w:tcPr>
            <w:tcW w:type="dxa" w:w="3672"/>
            <w:shd w:fill="EEF4F6"/>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Oak &amp; Iron Extension Dining Table with Six Chairs</w:t>
            </w:r>
          </w:p>
        </w:tc>
        <w:tc>
          <w:tcPr>
            <w:tcW w:type="dxa" w:w="1224"/>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2022-06-03</w:t>
            </w:r>
          </w:p>
        </w:tc>
        <w:tc>
          <w:tcPr>
            <w:tcW w:type="dxa" w:w="1123"/>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Both</w:t>
            </w:r>
          </w:p>
        </w:tc>
        <w:tc>
          <w:tcPr>
            <w:tcW w:type="dxa" w:w="1181"/>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$3,600</w:t>
            </w:r>
          </w:p>
        </w:tc>
        <w:tc>
          <w:tcPr>
            <w:tcW w:type="dxa" w:w="1037"/>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$1,800</w:t>
            </w:r>
          </w:p>
        </w:tc>
        <w:tc>
          <w:tcPr>
            <w:tcW w:type="dxa" w:w="1368"/>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4147"/>
            <w:shd w:fill="EEF4F6"/>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Seats six to ten; one chair has a repaired spindle</w:t>
            </w:r>
          </w:p>
        </w:tc>
      </w:tr>
      <w:tr>
        <w:tc>
          <w:tcPr>
            <w:tcW w:type="dxa" w:w="648"/>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#013</w:t>
            </w:r>
          </w:p>
        </w:tc>
        <w:tc>
          <w:tcPr>
            <w:tcW w:type="dxa" w:w="3672"/>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Roborock S7 MaxV Ultra Robot Vacuum</w:t>
            </w:r>
          </w:p>
        </w:tc>
        <w:tc>
          <w:tcPr>
            <w:tcW w:type="dxa" w:w="1224"/>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2022-11-25</w:t>
            </w:r>
          </w:p>
        </w:tc>
        <w:tc>
          <w:tcPr>
            <w:tcW w:type="dxa" w:w="1123"/>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1181"/>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$1,400</w:t>
            </w:r>
          </w:p>
        </w:tc>
        <w:tc>
          <w:tcPr>
            <w:tcW w:type="dxa" w:w="1037"/>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$500</w:t>
            </w:r>
          </w:p>
        </w:tc>
        <w:tc>
          <w:tcPr>
            <w:tcW w:type="dxa" w:w="1368"/>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4147"/>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Includes self-emptying and mop-cleaning dock</w:t>
            </w:r>
          </w:p>
        </w:tc>
      </w:tr>
      <w:tr>
        <w:tc>
          <w:tcPr>
            <w:tcW w:type="dxa" w:w="648"/>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#014</w:t>
            </w:r>
          </w:p>
        </w:tc>
        <w:tc>
          <w:tcPr>
            <w:tcW w:type="dxa" w:w="3672"/>
            <w:shd w:fill="EEF4F6"/>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Avocado King Mattress and Thuma Walnut Bed Frame</w:t>
            </w:r>
          </w:p>
        </w:tc>
        <w:tc>
          <w:tcPr>
            <w:tcW w:type="dxa" w:w="1224"/>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2023-02-18</w:t>
            </w:r>
          </w:p>
        </w:tc>
        <w:tc>
          <w:tcPr>
            <w:tcW w:type="dxa" w:w="1123"/>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Both</w:t>
            </w:r>
          </w:p>
        </w:tc>
        <w:tc>
          <w:tcPr>
            <w:tcW w:type="dxa" w:w="1181"/>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$4,200</w:t>
            </w:r>
          </w:p>
        </w:tc>
        <w:tc>
          <w:tcPr>
            <w:tcW w:type="dxa" w:w="1037"/>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$900</w:t>
            </w:r>
          </w:p>
        </w:tc>
        <w:tc>
          <w:tcPr>
            <w:tcW w:type="dxa" w:w="1368"/>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4147"/>
            <w:shd w:fill="EEF4F6"/>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Mattress and solid-wood platform frame; linens excluded</w:t>
            </w:r>
          </w:p>
        </w:tc>
      </w:tr>
      <w:tr>
        <w:tc>
          <w:tcPr>
            <w:tcW w:type="dxa" w:w="648"/>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#015</w:t>
            </w:r>
          </w:p>
        </w:tc>
        <w:tc>
          <w:tcPr>
            <w:tcW w:type="dxa" w:w="3672"/>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DeWalt 20V MAX Cordless Workshop Collection</w:t>
            </w:r>
          </w:p>
        </w:tc>
        <w:tc>
          <w:tcPr>
            <w:tcW w:type="dxa" w:w="1224"/>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2023-05-07</w:t>
            </w:r>
          </w:p>
        </w:tc>
        <w:tc>
          <w:tcPr>
            <w:tcW w:type="dxa" w:w="1123"/>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1181"/>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$1,900</w:t>
            </w:r>
          </w:p>
        </w:tc>
        <w:tc>
          <w:tcPr>
            <w:tcW w:type="dxa" w:w="1037"/>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$1,100</w:t>
            </w:r>
          </w:p>
        </w:tc>
        <w:tc>
          <w:tcPr>
            <w:tcW w:type="dxa" w:w="1368"/>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4147"/>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Drill, impact driver, saws, sander, six batteries, and rolling cases</w:t>
            </w:r>
          </w:p>
        </w:tc>
      </w:tr>
      <w:tr>
        <w:tc>
          <w:tcPr>
            <w:tcW w:type="dxa" w:w="648"/>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#016</w:t>
            </w:r>
          </w:p>
        </w:tc>
        <w:tc>
          <w:tcPr>
            <w:tcW w:type="dxa" w:w="3672"/>
            <w:shd w:fill="EEF4F6"/>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Waterford Lismore Crystal Barware Collection</w:t>
            </w:r>
          </w:p>
        </w:tc>
        <w:tc>
          <w:tcPr>
            <w:tcW w:type="dxa" w:w="1224"/>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2023-06-16</w:t>
            </w:r>
          </w:p>
        </w:tc>
        <w:tc>
          <w:tcPr>
            <w:tcW w:type="dxa" w:w="1123"/>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Gift</w:t>
            </w:r>
          </w:p>
        </w:tc>
        <w:tc>
          <w:tcPr>
            <w:tcW w:type="dxa" w:w="1181"/>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$0</w:t>
            </w:r>
          </w:p>
        </w:tc>
        <w:tc>
          <w:tcPr>
            <w:tcW w:type="dxa" w:w="1037"/>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$750</w:t>
            </w:r>
          </w:p>
        </w:tc>
        <w:tc>
          <w:tcPr>
            <w:tcW w:type="dxa" w:w="1368"/>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B</w:t>
            </w:r>
          </w:p>
        </w:tc>
        <w:tc>
          <w:tcPr>
            <w:tcW w:type="dxa" w:w="4147"/>
            <w:shd w:fill="EEF4F6"/>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100.0% | Community 0.0%</w:t>
              <w:br/>
              <w:t>Gift to Elena from her mother; twelve glasses and two decanters</w:t>
            </w:r>
          </w:p>
        </w:tc>
      </w:tr>
      <w:tr>
        <w:tc>
          <w:tcPr>
            <w:tcW w:type="dxa" w:w="648"/>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#017</w:t>
            </w:r>
          </w:p>
        </w:tc>
        <w:tc>
          <w:tcPr>
            <w:tcW w:type="dxa" w:w="3672"/>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Sony PlayStation 5 and PlayStation VR2 Bundle</w:t>
            </w:r>
          </w:p>
        </w:tc>
        <w:tc>
          <w:tcPr>
            <w:tcW w:type="dxa" w:w="1224"/>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2023-09-22</w:t>
            </w:r>
          </w:p>
        </w:tc>
        <w:tc>
          <w:tcPr>
            <w:tcW w:type="dxa" w:w="1123"/>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1181"/>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$1,150</w:t>
            </w:r>
          </w:p>
        </w:tc>
        <w:tc>
          <w:tcPr>
            <w:tcW w:type="dxa" w:w="1037"/>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$700</w:t>
            </w:r>
          </w:p>
        </w:tc>
        <w:tc>
          <w:tcPr>
            <w:tcW w:type="dxa" w:w="1368"/>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4147"/>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Two controllers, VR2 headset, charging dock, and six games</w:t>
            </w:r>
          </w:p>
        </w:tc>
      </w:tr>
      <w:tr>
        <w:tc>
          <w:tcPr>
            <w:tcW w:type="dxa" w:w="648"/>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#018</w:t>
            </w:r>
          </w:p>
        </w:tc>
        <w:tc>
          <w:tcPr>
            <w:tcW w:type="dxa" w:w="3672"/>
            <w:shd w:fill="EEF4F6"/>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Sierra Clay Studio Art Pottery Collection</w:t>
            </w:r>
          </w:p>
        </w:tc>
        <w:tc>
          <w:tcPr>
            <w:tcW w:type="dxa" w:w="1224"/>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2024-01-27</w:t>
            </w:r>
          </w:p>
        </w:tc>
        <w:tc>
          <w:tcPr>
            <w:tcW w:type="dxa" w:w="1123"/>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Both</w:t>
            </w:r>
          </w:p>
        </w:tc>
        <w:tc>
          <w:tcPr>
            <w:tcW w:type="dxa" w:w="1181"/>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$2,100</w:t>
            </w:r>
          </w:p>
        </w:tc>
        <w:tc>
          <w:tcPr>
            <w:tcW w:type="dxa" w:w="1037"/>
            <w:shd w:fill="EEF4F6"/>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$1,300</w:t>
            </w:r>
          </w:p>
        </w:tc>
        <w:tc>
          <w:tcPr>
            <w:tcW w:type="dxa" w:w="1368"/>
            <w:shd w:fill="EEF4F6"/>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Sell</w:t>
            </w:r>
          </w:p>
        </w:tc>
        <w:tc>
          <w:tcPr>
            <w:tcW w:type="dxa" w:w="4147"/>
            <w:shd w:fill="EEF4F6"/>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Nine signed contemporary vessels; sell through local gallery</w:t>
            </w:r>
          </w:p>
        </w:tc>
      </w:tr>
      <w:tr>
        <w:tc>
          <w:tcPr>
            <w:tcW w:type="dxa" w:w="648"/>
            <w:vAlign w:val="center"/>
            <w:tcMar>
              <w:top w:w="80" w:type="dxa"/>
              <w:start w:w="120" w:type="dxa"/>
              <w:bottom w:w="80" w:type="dxa"/>
              <w:end w:w="120" w:type="dxa"/>
            </w:tcMar>
          </w:tcPr>
          <w:p>
            <w:pPr>
              <w:keepNext w:val="0"/>
              <w:spacing w:before="0" w:after="0" w:line="240" w:lineRule="auto"/>
              <w:jc w:val="center"/>
            </w:pPr>
            <w:r>
              <w:rPr>
                <w:rFonts w:ascii="Aptos" w:hAnsi="Aptos"/>
                <w:b/>
                <w:i w:val="0"/>
                <w:color w:val="08212B"/>
                <w:sz w:val="14"/>
              </w:rPr>
              <w:t>#019</w:t>
            </w:r>
          </w:p>
        </w:tc>
        <w:tc>
          <w:tcPr>
            <w:tcW w:type="dxa" w:w="3672"/>
            <w:vAlign w:val="center"/>
            <w:tcMar>
              <w:top w:w="80" w:type="dxa"/>
              <w:start w:w="120" w:type="dxa"/>
              <w:bottom w:w="80" w:type="dxa"/>
              <w:end w:w="120" w:type="dxa"/>
            </w:tcMar>
          </w:tcPr>
          <w:p>
            <w:pPr>
              <w:keepNext w:val="0"/>
              <w:spacing w:before="0" w:after="0" w:line="240" w:lineRule="auto"/>
              <w:jc w:val="left"/>
            </w:pPr>
            <w:r>
              <w:rPr>
                <w:rFonts w:ascii="Aptos" w:hAnsi="Aptos"/>
                <w:b/>
                <w:i w:val="0"/>
                <w:color w:val="08212B"/>
                <w:sz w:val="14"/>
              </w:rPr>
              <w:t>EGO Power Plus Battery Lawn Equipment Set</w:t>
            </w:r>
          </w:p>
        </w:tc>
        <w:tc>
          <w:tcPr>
            <w:tcW w:type="dxa" w:w="1224"/>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2024-04-19</w:t>
            </w:r>
          </w:p>
        </w:tc>
        <w:tc>
          <w:tcPr>
            <w:tcW w:type="dxa" w:w="1123"/>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Both</w:t>
            </w:r>
          </w:p>
        </w:tc>
        <w:tc>
          <w:tcPr>
            <w:tcW w:type="dxa" w:w="1181"/>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$1,650</w:t>
            </w:r>
          </w:p>
        </w:tc>
        <w:tc>
          <w:tcPr>
            <w:tcW w:type="dxa" w:w="1037"/>
            <w:vAlign w:val="center"/>
            <w:tcMar>
              <w:top w:w="80" w:type="dxa"/>
              <w:start w:w="120" w:type="dxa"/>
              <w:bottom w:w="80" w:type="dxa"/>
              <w:end w:w="120" w:type="dxa"/>
            </w:tcMar>
          </w:tcPr>
          <w:p>
            <w:pPr>
              <w:keepNext w:val="0"/>
              <w:spacing w:before="0" w:after="0" w:line="240" w:lineRule="auto"/>
              <w:jc w:val="center"/>
            </w:pPr>
            <w:r>
              <w:rPr>
                <w:rFonts w:ascii="Aptos" w:hAnsi="Aptos"/>
                <w:b/>
                <w:i w:val="0"/>
                <w:color w:val="17232A"/>
                <w:sz w:val="14"/>
              </w:rPr>
              <w:t>$950</w:t>
            </w:r>
          </w:p>
        </w:tc>
        <w:tc>
          <w:tcPr>
            <w:tcW w:type="dxa" w:w="1368"/>
            <w:vAlign w:val="center"/>
            <w:tcMar>
              <w:top w:w="80" w:type="dxa"/>
              <w:start w:w="120" w:type="dxa"/>
              <w:bottom w:w="80" w:type="dxa"/>
              <w:end w:w="120" w:type="dxa"/>
            </w:tcMar>
          </w:tcPr>
          <w:p>
            <w:pPr>
              <w:keepNext w:val="0"/>
              <w:spacing w:before="0" w:after="0" w:line="240" w:lineRule="auto"/>
              <w:jc w:val="center"/>
            </w:pPr>
            <w:r>
              <w:rPr>
                <w:rFonts w:ascii="Aptos" w:hAnsi="Aptos"/>
                <w:b w:val="0"/>
                <w:i w:val="0"/>
                <w:color w:val="17232A"/>
                <w:sz w:val="14"/>
              </w:rPr>
              <w:t>Spouse A</w:t>
            </w:r>
          </w:p>
        </w:tc>
        <w:tc>
          <w:tcPr>
            <w:tcW w:type="dxa" w:w="4147"/>
            <w:vAlign w:val="center"/>
            <w:tcMar>
              <w:top w:w="80" w:type="dxa"/>
              <w:start w:w="120" w:type="dxa"/>
              <w:bottom w:w="80" w:type="dxa"/>
              <w:end w:w="120" w:type="dxa"/>
            </w:tcMar>
          </w:tcPr>
          <w:p>
            <w:pPr>
              <w:keepNext w:val="0"/>
              <w:spacing w:before="0" w:after="0" w:line="240" w:lineRule="auto"/>
              <w:jc w:val="left"/>
            </w:pPr>
            <w:r>
              <w:rPr>
                <w:rFonts w:ascii="Aptos" w:hAnsi="Aptos"/>
                <w:b w:val="0"/>
                <w:i w:val="0"/>
                <w:color w:val="17232A"/>
                <w:sz w:val="14"/>
              </w:rPr>
              <w:t>A 0.0% | B 0.0% | Community 100.0%</w:t>
              <w:br/>
              <w:t>Mower, string trimmer, blower, two batteries, and rapid charger</w:t>
            </w:r>
          </w:p>
        </w:tc>
      </w:tr>
    </w:tbl>
    <w:sectPr w:rsidR="00FC693F" w:rsidRPr="0006063C" w:rsidSect="00034616">
      <w:pgSz w:w="15840" w:h="12240" w:orient="landscape"/>
      <w:pgMar w:top="792" w:right="720" w:bottom="792" w:left="7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D6A72"/>
        <w:sz w:val="17"/>
      </w:rPr>
      <w:t>Fictional demonstration matter - prepared August 26,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val="0"/>
        <w:i w:val="0"/>
        <w:color w:val="5D6A72"/>
        <w:sz w:val="17"/>
      </w:rPr>
      <w:t>PE Proper | Product Experience and Marketing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ptos" w:hAnsi="Aptos"/>
      <w:color w:val="17232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w:hAnsi="Aptos"/>
      <w:b/>
      <w:bCs/>
      <w:color w:val="27C7D9"/>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w:hAnsi="Aptos"/>
      <w:b/>
      <w:bCs/>
      <w:color w:val="27C7D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08212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 Proper Product Experience and Marketing Review</dc:title>
  <dc:subject>Fictional product demonstration, experience review, and marketing material</dc:subject>
  <dc:creator>VBDGS LLC</dc:creator>
  <cp:keywords>PE Proper, Legal Case Suite, property division, marketing</cp:keywords>
  <dc:description>generated by python-docx</dc:description>
  <cp:lastModifiedBy/>
  <cp:revision>1</cp:revision>
  <dcterms:created xsi:type="dcterms:W3CDTF">2013-12-23T23:15:00Z</dcterms:created>
  <dcterms:modified xsi:type="dcterms:W3CDTF">2013-12-23T23:15:00Z</dcterms:modified>
  <cp:category/>
</cp:coreProperties>
</file>